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624DF" w:rsidRPr="002D7D7A" w:rsidRDefault="00B624DF" w:rsidP="00B624DF">
      <w:pPr>
        <w:jc w:val="center"/>
        <w:rPr>
          <w:rFonts w:cs="Arial"/>
          <w:b/>
          <w:szCs w:val="24"/>
          <w:lang w:val="es-CO"/>
        </w:rPr>
      </w:pPr>
    </w:p>
    <w:p w:rsidR="00B624DF" w:rsidRPr="002D7D7A" w:rsidRDefault="00003747" w:rsidP="00100CA8">
      <w:pPr>
        <w:ind w:left="709" w:hanging="709"/>
        <w:jc w:val="center"/>
        <w:rPr>
          <w:rFonts w:cs="Arial"/>
          <w:b/>
          <w:szCs w:val="24"/>
          <w:lang w:val="es-CO"/>
        </w:rPr>
      </w:pPr>
      <w:r>
        <w:rPr>
          <w:noProof/>
          <w:lang w:val="es-CO" w:eastAsia="es-CO"/>
        </w:rPr>
        <w:drawing>
          <wp:inline distT="0" distB="0" distL="0" distR="0">
            <wp:extent cx="5610225" cy="1371600"/>
            <wp:effectExtent l="0" t="0" r="9525" b="0"/>
            <wp:docPr id="7" name="Imagen 1" descr="1-MINTRANSPOR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MINTRANSPORTE-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1371600"/>
                    </a:xfrm>
                    <a:prstGeom prst="rect">
                      <a:avLst/>
                    </a:prstGeom>
                    <a:noFill/>
                    <a:ln>
                      <a:noFill/>
                    </a:ln>
                  </pic:spPr>
                </pic:pic>
              </a:graphicData>
            </a:graphic>
          </wp:inline>
        </w:drawing>
      </w:r>
    </w:p>
    <w:p w:rsidR="004B783F" w:rsidRDefault="004B783F" w:rsidP="004B783F">
      <w:pPr>
        <w:rPr>
          <w:rFonts w:cs="Arial"/>
          <w:b/>
        </w:rPr>
      </w:pPr>
    </w:p>
    <w:p w:rsidR="00E631AC" w:rsidRDefault="00E631AC" w:rsidP="004B783F">
      <w:pPr>
        <w:jc w:val="center"/>
        <w:rPr>
          <w:rFonts w:cs="Arial"/>
          <w:b/>
          <w:sz w:val="32"/>
          <w:szCs w:val="32"/>
        </w:rPr>
      </w:pPr>
    </w:p>
    <w:p w:rsidR="004B783F" w:rsidRPr="007E3988" w:rsidRDefault="004B783F" w:rsidP="004B783F">
      <w:pPr>
        <w:jc w:val="center"/>
        <w:rPr>
          <w:rFonts w:cs="Arial"/>
          <w:b/>
          <w:sz w:val="32"/>
        </w:rPr>
      </w:pPr>
      <w:r w:rsidRPr="007E3988">
        <w:rPr>
          <w:rFonts w:cs="Arial"/>
          <w:b/>
          <w:sz w:val="32"/>
        </w:rPr>
        <w:t>OFICINA ASESORA DE PLANEACIÓN</w:t>
      </w: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D8379E" w:rsidRPr="007E3988" w:rsidRDefault="00D8379E"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r w:rsidRPr="007E3988">
        <w:rPr>
          <w:rFonts w:cs="Arial"/>
          <w:b/>
          <w:sz w:val="32"/>
        </w:rPr>
        <w:t>INFORME DE GESTIÓN 201</w:t>
      </w:r>
      <w:r w:rsidR="00482C5F">
        <w:rPr>
          <w:rFonts w:cs="Arial"/>
          <w:b/>
          <w:sz w:val="32"/>
        </w:rPr>
        <w:t>7</w:t>
      </w: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4B783F" w:rsidRPr="007E3988" w:rsidRDefault="004B783F" w:rsidP="004B783F">
      <w:pPr>
        <w:jc w:val="center"/>
        <w:rPr>
          <w:rFonts w:cs="Arial"/>
          <w:b/>
          <w:sz w:val="32"/>
        </w:rPr>
      </w:pPr>
    </w:p>
    <w:p w:rsidR="00E04F90" w:rsidRPr="007E3988" w:rsidRDefault="004B783F" w:rsidP="004B783F">
      <w:pPr>
        <w:jc w:val="center"/>
        <w:rPr>
          <w:rFonts w:cs="Arial"/>
          <w:b/>
          <w:sz w:val="32"/>
        </w:rPr>
      </w:pPr>
      <w:r w:rsidRPr="007E3988">
        <w:rPr>
          <w:rFonts w:cs="Arial"/>
          <w:b/>
          <w:sz w:val="32"/>
        </w:rPr>
        <w:t>Enero de 201</w:t>
      </w:r>
      <w:r w:rsidR="00482C5F">
        <w:rPr>
          <w:rFonts w:cs="Arial"/>
          <w:b/>
          <w:sz w:val="32"/>
        </w:rPr>
        <w:t>8</w:t>
      </w:r>
    </w:p>
    <w:p w:rsidR="00E04F90" w:rsidRPr="007E3988" w:rsidRDefault="00E04F90" w:rsidP="004B783F">
      <w:pPr>
        <w:jc w:val="center"/>
        <w:rPr>
          <w:rFonts w:cs="Arial"/>
          <w:b/>
          <w:sz w:val="32"/>
          <w:szCs w:val="32"/>
        </w:rPr>
      </w:pPr>
    </w:p>
    <w:p w:rsidR="005825ED" w:rsidRPr="003D44B7" w:rsidRDefault="005825ED" w:rsidP="003D44B7">
      <w:pPr>
        <w:rPr>
          <w:rFonts w:cs="Arial"/>
          <w:sz w:val="28"/>
          <w:szCs w:val="32"/>
        </w:rPr>
      </w:pPr>
    </w:p>
    <w:p w:rsidR="00AB5B88"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Germán Cardona Gutiérrez</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Ministr</w:t>
      </w:r>
      <w:r w:rsidR="00AB7F70" w:rsidRPr="00664C45">
        <w:rPr>
          <w:rFonts w:cs="Arial"/>
          <w:sz w:val="26"/>
          <w:szCs w:val="26"/>
        </w:rPr>
        <w:t>o</w:t>
      </w:r>
      <w:r w:rsidR="005825ED" w:rsidRPr="00664C45">
        <w:rPr>
          <w:rFonts w:cs="Arial"/>
          <w:sz w:val="26"/>
          <w:szCs w:val="26"/>
        </w:rPr>
        <w:t xml:space="preserve"> de Transporte</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César Augusto Peñaloza Pabón</w:t>
      </w:r>
      <w:r w:rsidR="0054331D" w:rsidRPr="00664C45">
        <w:rPr>
          <w:rFonts w:cs="Arial"/>
          <w:b/>
          <w:sz w:val="26"/>
          <w:szCs w:val="26"/>
        </w:rPr>
        <w:t xml:space="preserve"> </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Viceministro de Infraestructura</w:t>
      </w:r>
    </w:p>
    <w:p w:rsidR="00AB5B88" w:rsidRPr="00664C45" w:rsidRDefault="00AB5B88" w:rsidP="00AB5B88">
      <w:pPr>
        <w:autoSpaceDE w:val="0"/>
        <w:autoSpaceDN w:val="0"/>
        <w:adjustRightInd w:val="0"/>
        <w:spacing w:line="240" w:lineRule="auto"/>
        <w:jc w:val="right"/>
        <w:rPr>
          <w:rFonts w:cs="Arial"/>
          <w:b/>
          <w:sz w:val="26"/>
          <w:szCs w:val="26"/>
        </w:rPr>
      </w:pPr>
    </w:p>
    <w:p w:rsidR="003E0E1E" w:rsidRPr="00664C45" w:rsidRDefault="00536AB0" w:rsidP="00AB5B88">
      <w:pPr>
        <w:autoSpaceDE w:val="0"/>
        <w:autoSpaceDN w:val="0"/>
        <w:adjustRightInd w:val="0"/>
        <w:spacing w:line="240" w:lineRule="auto"/>
        <w:jc w:val="right"/>
        <w:rPr>
          <w:rFonts w:cs="Arial"/>
          <w:b/>
          <w:sz w:val="26"/>
          <w:szCs w:val="26"/>
        </w:rPr>
      </w:pPr>
      <w:r w:rsidRPr="00664C45">
        <w:rPr>
          <w:rFonts w:cs="Arial"/>
          <w:b/>
          <w:sz w:val="26"/>
          <w:szCs w:val="26"/>
        </w:rPr>
        <w:t>Andrés Ricardo Cha</w:t>
      </w:r>
      <w:r w:rsidR="0090638E" w:rsidRPr="00664C45">
        <w:rPr>
          <w:rFonts w:cs="Arial"/>
          <w:b/>
          <w:sz w:val="26"/>
          <w:szCs w:val="26"/>
        </w:rPr>
        <w:t>ve</w:t>
      </w:r>
      <w:r w:rsidRPr="00664C45">
        <w:rPr>
          <w:rFonts w:cs="Arial"/>
          <w:b/>
          <w:sz w:val="26"/>
          <w:szCs w:val="26"/>
        </w:rPr>
        <w:t>s</w:t>
      </w:r>
      <w:r w:rsidR="0090638E" w:rsidRPr="00664C45">
        <w:rPr>
          <w:rFonts w:cs="Arial"/>
          <w:b/>
          <w:sz w:val="26"/>
          <w:szCs w:val="26"/>
        </w:rPr>
        <w:t xml:space="preserve"> Pinzón</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Viceministro de Transporte</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AB7F70" w:rsidP="00AB5B88">
      <w:pPr>
        <w:autoSpaceDE w:val="0"/>
        <w:autoSpaceDN w:val="0"/>
        <w:adjustRightInd w:val="0"/>
        <w:spacing w:line="240" w:lineRule="auto"/>
        <w:jc w:val="right"/>
        <w:rPr>
          <w:rFonts w:cs="Arial"/>
          <w:b/>
          <w:sz w:val="26"/>
          <w:szCs w:val="26"/>
        </w:rPr>
      </w:pPr>
      <w:r w:rsidRPr="00664C45">
        <w:rPr>
          <w:rFonts w:cs="Arial"/>
          <w:b/>
          <w:sz w:val="26"/>
          <w:szCs w:val="26"/>
        </w:rPr>
        <w:t>Paula Andrea Sánchez Gutiérrez</w:t>
      </w:r>
      <w:r w:rsidR="00B5337B" w:rsidRPr="00664C45">
        <w:rPr>
          <w:rFonts w:cs="Arial"/>
          <w:b/>
          <w:sz w:val="26"/>
          <w:szCs w:val="26"/>
        </w:rPr>
        <w:t xml:space="preserve"> </w:t>
      </w:r>
    </w:p>
    <w:p w:rsidR="00AB5B88" w:rsidRPr="00664C45" w:rsidRDefault="00557C46" w:rsidP="00AB5B88">
      <w:pPr>
        <w:autoSpaceDE w:val="0"/>
        <w:autoSpaceDN w:val="0"/>
        <w:adjustRightInd w:val="0"/>
        <w:spacing w:line="240" w:lineRule="auto"/>
        <w:jc w:val="right"/>
        <w:rPr>
          <w:rFonts w:cs="Arial"/>
          <w:sz w:val="26"/>
          <w:szCs w:val="26"/>
        </w:rPr>
      </w:pPr>
      <w:r w:rsidRPr="00664C45">
        <w:rPr>
          <w:rFonts w:cs="Arial"/>
          <w:sz w:val="26"/>
          <w:szCs w:val="26"/>
        </w:rPr>
        <w:t>Secretari</w:t>
      </w:r>
      <w:r w:rsidR="00AB7F70" w:rsidRPr="00664C45">
        <w:rPr>
          <w:rFonts w:cs="Arial"/>
          <w:sz w:val="26"/>
          <w:szCs w:val="26"/>
        </w:rPr>
        <w:t>a</w:t>
      </w:r>
      <w:r w:rsidR="00AB5B88" w:rsidRPr="00664C45">
        <w:rPr>
          <w:rFonts w:cs="Arial"/>
          <w:sz w:val="26"/>
          <w:szCs w:val="26"/>
        </w:rPr>
        <w:t xml:space="preserve"> General </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Manuel González Hurtado</w:t>
      </w:r>
    </w:p>
    <w:p w:rsidR="00AB5B88" w:rsidRPr="00664C45" w:rsidRDefault="0007533C" w:rsidP="00AB5B88">
      <w:pPr>
        <w:autoSpaceDE w:val="0"/>
        <w:autoSpaceDN w:val="0"/>
        <w:adjustRightInd w:val="0"/>
        <w:spacing w:line="240" w:lineRule="auto"/>
        <w:jc w:val="right"/>
        <w:rPr>
          <w:rFonts w:cs="Arial"/>
          <w:sz w:val="26"/>
          <w:szCs w:val="26"/>
        </w:rPr>
      </w:pPr>
      <w:r w:rsidRPr="00664C45">
        <w:rPr>
          <w:rFonts w:cs="Arial"/>
          <w:sz w:val="26"/>
          <w:szCs w:val="26"/>
        </w:rPr>
        <w:t>Director</w:t>
      </w:r>
      <w:r w:rsidR="00AB5B88" w:rsidRPr="00664C45">
        <w:rPr>
          <w:rFonts w:cs="Arial"/>
          <w:sz w:val="26"/>
          <w:szCs w:val="26"/>
        </w:rPr>
        <w:t xml:space="preserve"> de Transporte y Tránsito</w:t>
      </w:r>
    </w:p>
    <w:p w:rsidR="00AB5B88" w:rsidRPr="00664C45" w:rsidRDefault="00AB5B88" w:rsidP="00AB5B88">
      <w:pPr>
        <w:autoSpaceDE w:val="0"/>
        <w:autoSpaceDN w:val="0"/>
        <w:adjustRightInd w:val="0"/>
        <w:spacing w:line="240" w:lineRule="auto"/>
        <w:jc w:val="right"/>
        <w:rPr>
          <w:rFonts w:cs="Arial"/>
          <w:b/>
          <w:sz w:val="26"/>
          <w:szCs w:val="26"/>
        </w:rPr>
      </w:pPr>
    </w:p>
    <w:p w:rsidR="00B5337B"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Mario Andrés Peláez Rojas</w:t>
      </w:r>
      <w:r w:rsidR="00B5337B" w:rsidRPr="00664C45">
        <w:rPr>
          <w:rFonts w:cs="Arial"/>
          <w:b/>
          <w:sz w:val="26"/>
          <w:szCs w:val="26"/>
        </w:rPr>
        <w:t xml:space="preserve"> </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 xml:space="preserve">Director de Infraestructura </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Ingrid Lucila Castellar Hansen</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 xml:space="preserve">Jefe Oficina Asesora de Planeación </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Mario Andrés Peláez Rojas</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Jefe Oficina de Regulación Económica</w:t>
      </w:r>
      <w:r w:rsidR="00670082" w:rsidRPr="00664C45">
        <w:rPr>
          <w:rFonts w:cs="Arial"/>
          <w:sz w:val="26"/>
          <w:szCs w:val="26"/>
        </w:rPr>
        <w:t xml:space="preserve"> (E)</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670082" w:rsidP="00AB5B88">
      <w:pPr>
        <w:autoSpaceDE w:val="0"/>
        <w:autoSpaceDN w:val="0"/>
        <w:adjustRightInd w:val="0"/>
        <w:spacing w:line="240" w:lineRule="auto"/>
        <w:jc w:val="right"/>
        <w:rPr>
          <w:rFonts w:cs="Arial"/>
          <w:b/>
          <w:sz w:val="26"/>
          <w:szCs w:val="26"/>
        </w:rPr>
      </w:pPr>
      <w:r w:rsidRPr="00664C45">
        <w:rPr>
          <w:rFonts w:cs="Arial"/>
          <w:b/>
          <w:sz w:val="26"/>
          <w:szCs w:val="26"/>
        </w:rPr>
        <w:t>Andrés Ricardo Mancipe González</w:t>
      </w:r>
    </w:p>
    <w:p w:rsidR="00AB5B88" w:rsidRPr="00664C45" w:rsidRDefault="00AB5B88" w:rsidP="00AB5B88">
      <w:pPr>
        <w:autoSpaceDE w:val="0"/>
        <w:autoSpaceDN w:val="0"/>
        <w:adjustRightInd w:val="0"/>
        <w:spacing w:line="240" w:lineRule="auto"/>
        <w:jc w:val="right"/>
        <w:rPr>
          <w:rFonts w:cs="Arial"/>
          <w:sz w:val="26"/>
          <w:szCs w:val="26"/>
        </w:rPr>
      </w:pPr>
      <w:r w:rsidRPr="00664C45">
        <w:rPr>
          <w:rFonts w:cs="Arial"/>
          <w:sz w:val="26"/>
          <w:szCs w:val="26"/>
        </w:rPr>
        <w:t>Jefe Oficina Asesora Jurídica</w:t>
      </w:r>
    </w:p>
    <w:p w:rsidR="00AB5B88" w:rsidRPr="00664C45" w:rsidRDefault="00AB5B88" w:rsidP="00AB5B88">
      <w:pPr>
        <w:autoSpaceDE w:val="0"/>
        <w:autoSpaceDN w:val="0"/>
        <w:adjustRightInd w:val="0"/>
        <w:spacing w:line="240" w:lineRule="auto"/>
        <w:jc w:val="right"/>
        <w:rPr>
          <w:rFonts w:cs="Arial"/>
          <w:b/>
          <w:sz w:val="26"/>
          <w:szCs w:val="26"/>
        </w:rPr>
      </w:pPr>
    </w:p>
    <w:p w:rsidR="00AB5B88" w:rsidRPr="00664C45" w:rsidRDefault="0007533C" w:rsidP="00AB5B88">
      <w:pPr>
        <w:autoSpaceDE w:val="0"/>
        <w:autoSpaceDN w:val="0"/>
        <w:adjustRightInd w:val="0"/>
        <w:spacing w:line="240" w:lineRule="auto"/>
        <w:jc w:val="right"/>
        <w:rPr>
          <w:rFonts w:cs="Arial"/>
          <w:b/>
          <w:sz w:val="26"/>
          <w:szCs w:val="26"/>
        </w:rPr>
      </w:pPr>
      <w:r w:rsidRPr="00664C45">
        <w:rPr>
          <w:rFonts w:cs="Arial"/>
          <w:b/>
          <w:sz w:val="26"/>
          <w:szCs w:val="26"/>
        </w:rPr>
        <w:t>Luz Stella de la Concepción Conde Romero</w:t>
      </w:r>
    </w:p>
    <w:p w:rsidR="00AB5B88" w:rsidRPr="007E3988" w:rsidRDefault="00AB5B88" w:rsidP="00AB5B88">
      <w:pPr>
        <w:autoSpaceDE w:val="0"/>
        <w:autoSpaceDN w:val="0"/>
        <w:adjustRightInd w:val="0"/>
        <w:spacing w:line="240" w:lineRule="auto"/>
        <w:jc w:val="right"/>
        <w:rPr>
          <w:rFonts w:cs="Arial"/>
          <w:sz w:val="30"/>
        </w:rPr>
      </w:pPr>
      <w:r w:rsidRPr="00664C45">
        <w:rPr>
          <w:rFonts w:cs="Arial"/>
          <w:sz w:val="26"/>
          <w:szCs w:val="26"/>
        </w:rPr>
        <w:t>Jefe Oficina de Control Interno</w:t>
      </w:r>
    </w:p>
    <w:p w:rsidR="00F80B0A" w:rsidRPr="007E3988" w:rsidRDefault="00F80B0A" w:rsidP="00AB5B88">
      <w:pPr>
        <w:autoSpaceDE w:val="0"/>
        <w:autoSpaceDN w:val="0"/>
        <w:adjustRightInd w:val="0"/>
        <w:spacing w:line="240" w:lineRule="auto"/>
        <w:jc w:val="right"/>
        <w:rPr>
          <w:rFonts w:cs="Arial"/>
          <w:b/>
          <w:sz w:val="32"/>
        </w:rPr>
      </w:pPr>
    </w:p>
    <w:p w:rsidR="00AB5B88" w:rsidRPr="007E3988" w:rsidRDefault="00AB5B88" w:rsidP="00AB5B88">
      <w:pPr>
        <w:autoSpaceDE w:val="0"/>
        <w:autoSpaceDN w:val="0"/>
        <w:adjustRightInd w:val="0"/>
        <w:spacing w:line="240" w:lineRule="auto"/>
        <w:jc w:val="right"/>
        <w:rPr>
          <w:rFonts w:cs="Arial"/>
          <w:b/>
          <w:sz w:val="32"/>
        </w:rPr>
      </w:pPr>
    </w:p>
    <w:p w:rsidR="00AB5B88" w:rsidRPr="007E3988" w:rsidRDefault="00AB5B88" w:rsidP="00AB5B88">
      <w:pPr>
        <w:autoSpaceDE w:val="0"/>
        <w:autoSpaceDN w:val="0"/>
        <w:adjustRightInd w:val="0"/>
        <w:spacing w:line="240" w:lineRule="auto"/>
        <w:jc w:val="right"/>
        <w:rPr>
          <w:rFonts w:cs="Arial"/>
          <w:b/>
          <w:sz w:val="32"/>
        </w:rPr>
      </w:pPr>
    </w:p>
    <w:p w:rsidR="00AB5B88" w:rsidRPr="007E3988" w:rsidRDefault="00AB5B88" w:rsidP="00AB5B88">
      <w:pPr>
        <w:autoSpaceDE w:val="0"/>
        <w:autoSpaceDN w:val="0"/>
        <w:adjustRightInd w:val="0"/>
        <w:spacing w:line="240" w:lineRule="auto"/>
        <w:rPr>
          <w:rFonts w:cs="Arial"/>
          <w:b/>
          <w:sz w:val="32"/>
        </w:rPr>
      </w:pPr>
    </w:p>
    <w:p w:rsidR="00561A73" w:rsidRPr="007E3988" w:rsidRDefault="00561A73" w:rsidP="00AB5B88">
      <w:pPr>
        <w:autoSpaceDE w:val="0"/>
        <w:autoSpaceDN w:val="0"/>
        <w:adjustRightInd w:val="0"/>
        <w:spacing w:line="240" w:lineRule="auto"/>
        <w:rPr>
          <w:rFonts w:cs="Arial"/>
          <w:b/>
          <w:sz w:val="32"/>
        </w:rPr>
      </w:pPr>
    </w:p>
    <w:p w:rsidR="00351D91" w:rsidRPr="003D75BA" w:rsidRDefault="00351D91" w:rsidP="003D75BA">
      <w:pPr>
        <w:autoSpaceDE w:val="0"/>
        <w:autoSpaceDN w:val="0"/>
        <w:adjustRightInd w:val="0"/>
        <w:spacing w:line="240" w:lineRule="auto"/>
        <w:rPr>
          <w:rFonts w:cs="Arial"/>
          <w:sz w:val="32"/>
        </w:rPr>
      </w:pPr>
    </w:p>
    <w:p w:rsidR="00664C45" w:rsidRDefault="00664C45">
      <w:pPr>
        <w:spacing w:after="200" w:line="276" w:lineRule="auto"/>
        <w:jc w:val="left"/>
        <w:rPr>
          <w:rFonts w:cs="Arial"/>
          <w:sz w:val="32"/>
        </w:rPr>
      </w:pPr>
      <w:r>
        <w:rPr>
          <w:rFonts w:cs="Arial"/>
          <w:sz w:val="32"/>
        </w:rPr>
        <w:br w:type="page"/>
      </w:r>
    </w:p>
    <w:p w:rsidR="003D75BA" w:rsidRPr="003D75BA" w:rsidRDefault="003D75BA" w:rsidP="003D75BA">
      <w:pPr>
        <w:autoSpaceDE w:val="0"/>
        <w:autoSpaceDN w:val="0"/>
        <w:adjustRightInd w:val="0"/>
        <w:spacing w:line="240" w:lineRule="auto"/>
        <w:rPr>
          <w:rFonts w:cs="Arial"/>
          <w:sz w:val="32"/>
        </w:rPr>
      </w:pPr>
    </w:p>
    <w:bookmarkStart w:id="0" w:name="_Toc505003474" w:displacedByCustomXml="next"/>
    <w:sdt>
      <w:sdtPr>
        <w:rPr>
          <w:rFonts w:cstheme="minorBidi"/>
          <w:b w:val="0"/>
          <w:sz w:val="24"/>
          <w:lang w:eastAsia="en-US"/>
        </w:rPr>
        <w:id w:val="1871492092"/>
        <w:docPartObj>
          <w:docPartGallery w:val="Table of Contents"/>
          <w:docPartUnique/>
        </w:docPartObj>
      </w:sdtPr>
      <w:sdtEndPr>
        <w:rPr>
          <w:bCs/>
        </w:rPr>
      </w:sdtEndPr>
      <w:sdtContent>
        <w:p w:rsidR="00CC773F" w:rsidRDefault="00CC773F" w:rsidP="003D44B7">
          <w:pPr>
            <w:pStyle w:val="Ttulo1"/>
          </w:pPr>
          <w:r>
            <w:t>Tabla de contenido</w:t>
          </w:r>
          <w:bookmarkEnd w:id="0"/>
        </w:p>
        <w:p w:rsidR="005A5DC2" w:rsidRDefault="00CC773F">
          <w:pPr>
            <w:pStyle w:val="TDC1"/>
            <w:tabs>
              <w:tab w:val="left" w:pos="993"/>
              <w:tab w:val="right" w:leader="dot" w:pos="8827"/>
            </w:tabs>
            <w:rPr>
              <w:rFonts w:eastAsiaTheme="minorEastAsia"/>
              <w:b w:val="0"/>
              <w:bCs w:val="0"/>
              <w:i w:val="0"/>
              <w:iCs w:val="0"/>
              <w:noProof/>
              <w:sz w:val="22"/>
              <w:szCs w:val="22"/>
              <w:lang w:val="es-CO" w:eastAsia="es-CO"/>
            </w:rPr>
          </w:pPr>
          <w:r>
            <w:fldChar w:fldCharType="begin"/>
          </w:r>
          <w:r>
            <w:instrText xml:space="preserve"> TOC \o "1-3" \h \z \u </w:instrText>
          </w:r>
          <w:r>
            <w:fldChar w:fldCharType="separate"/>
          </w:r>
          <w:hyperlink w:anchor="_Toc505003474" w:history="1">
            <w:r w:rsidR="005A5DC2" w:rsidRPr="0006231C">
              <w:rPr>
                <w:rStyle w:val="Hipervnculo"/>
                <w:noProof/>
              </w:rPr>
              <w:t>1.</w:t>
            </w:r>
            <w:r w:rsidR="005A5DC2">
              <w:rPr>
                <w:rFonts w:eastAsiaTheme="minorEastAsia"/>
                <w:b w:val="0"/>
                <w:bCs w:val="0"/>
                <w:i w:val="0"/>
                <w:iCs w:val="0"/>
                <w:noProof/>
                <w:sz w:val="22"/>
                <w:szCs w:val="22"/>
                <w:lang w:val="es-CO" w:eastAsia="es-CO"/>
              </w:rPr>
              <w:tab/>
            </w:r>
            <w:r w:rsidR="005A5DC2" w:rsidRPr="0006231C">
              <w:rPr>
                <w:rStyle w:val="Hipervnculo"/>
                <w:noProof/>
              </w:rPr>
              <w:t>Tabla de contenido</w:t>
            </w:r>
            <w:r w:rsidR="005A5DC2">
              <w:rPr>
                <w:noProof/>
                <w:webHidden/>
              </w:rPr>
              <w:tab/>
            </w:r>
            <w:r w:rsidR="005A5DC2">
              <w:rPr>
                <w:noProof/>
                <w:webHidden/>
              </w:rPr>
              <w:fldChar w:fldCharType="begin"/>
            </w:r>
            <w:r w:rsidR="005A5DC2">
              <w:rPr>
                <w:noProof/>
                <w:webHidden/>
              </w:rPr>
              <w:instrText xml:space="preserve"> PAGEREF _Toc505003474 \h </w:instrText>
            </w:r>
            <w:r w:rsidR="005A5DC2">
              <w:rPr>
                <w:noProof/>
                <w:webHidden/>
              </w:rPr>
            </w:r>
            <w:r w:rsidR="005A5DC2">
              <w:rPr>
                <w:noProof/>
                <w:webHidden/>
              </w:rPr>
              <w:fldChar w:fldCharType="separate"/>
            </w:r>
            <w:r w:rsidR="005A5DC2">
              <w:rPr>
                <w:noProof/>
                <w:webHidden/>
              </w:rPr>
              <w:t>3</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75" w:history="1">
            <w:r w:rsidR="005A5DC2" w:rsidRPr="0006231C">
              <w:rPr>
                <w:rStyle w:val="Hipervnculo"/>
                <w:noProof/>
              </w:rPr>
              <w:t>1.</w:t>
            </w:r>
            <w:r w:rsidR="005A5DC2">
              <w:rPr>
                <w:rFonts w:eastAsiaTheme="minorEastAsia"/>
                <w:b w:val="0"/>
                <w:bCs w:val="0"/>
                <w:i w:val="0"/>
                <w:iCs w:val="0"/>
                <w:noProof/>
                <w:sz w:val="22"/>
                <w:szCs w:val="22"/>
                <w:lang w:val="es-CO" w:eastAsia="es-CO"/>
              </w:rPr>
              <w:tab/>
            </w:r>
            <w:r w:rsidR="005A5DC2" w:rsidRPr="0006231C">
              <w:rPr>
                <w:rStyle w:val="Hipervnculo"/>
                <w:noProof/>
              </w:rPr>
              <w:t>GESTIÓN PRESUPUESTAL</w:t>
            </w:r>
            <w:r w:rsidR="005A5DC2">
              <w:rPr>
                <w:noProof/>
                <w:webHidden/>
              </w:rPr>
              <w:tab/>
            </w:r>
            <w:r w:rsidR="005A5DC2">
              <w:rPr>
                <w:noProof/>
                <w:webHidden/>
              </w:rPr>
              <w:fldChar w:fldCharType="begin"/>
            </w:r>
            <w:r w:rsidR="005A5DC2">
              <w:rPr>
                <w:noProof/>
                <w:webHidden/>
              </w:rPr>
              <w:instrText xml:space="preserve"> PAGEREF _Toc505003475 \h </w:instrText>
            </w:r>
            <w:r w:rsidR="005A5DC2">
              <w:rPr>
                <w:noProof/>
                <w:webHidden/>
              </w:rPr>
            </w:r>
            <w:r w:rsidR="005A5DC2">
              <w:rPr>
                <w:noProof/>
                <w:webHidden/>
              </w:rPr>
              <w:fldChar w:fldCharType="separate"/>
            </w:r>
            <w:r w:rsidR="005A5DC2">
              <w:rPr>
                <w:noProof/>
                <w:webHidden/>
              </w:rPr>
              <w:t>6</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76" w:history="1">
            <w:r w:rsidR="005A5DC2" w:rsidRPr="0006231C">
              <w:rPr>
                <w:rStyle w:val="Hipervnculo"/>
                <w:noProof/>
              </w:rPr>
              <w:t>1.1</w:t>
            </w:r>
            <w:r w:rsidR="005A5DC2">
              <w:rPr>
                <w:rFonts w:eastAsiaTheme="minorEastAsia"/>
                <w:b w:val="0"/>
                <w:bCs w:val="0"/>
                <w:noProof/>
                <w:lang w:val="es-CO" w:eastAsia="es-CO"/>
              </w:rPr>
              <w:tab/>
            </w:r>
            <w:r w:rsidR="005A5DC2" w:rsidRPr="0006231C">
              <w:rPr>
                <w:rStyle w:val="Hipervnculo"/>
                <w:noProof/>
              </w:rPr>
              <w:t>Gestión Presupuestal Sector Transporte</w:t>
            </w:r>
            <w:r w:rsidR="005A5DC2">
              <w:rPr>
                <w:noProof/>
                <w:webHidden/>
              </w:rPr>
              <w:tab/>
            </w:r>
            <w:r w:rsidR="005A5DC2">
              <w:rPr>
                <w:noProof/>
                <w:webHidden/>
              </w:rPr>
              <w:fldChar w:fldCharType="begin"/>
            </w:r>
            <w:r w:rsidR="005A5DC2">
              <w:rPr>
                <w:noProof/>
                <w:webHidden/>
              </w:rPr>
              <w:instrText xml:space="preserve"> PAGEREF _Toc505003476 \h </w:instrText>
            </w:r>
            <w:r w:rsidR="005A5DC2">
              <w:rPr>
                <w:noProof/>
                <w:webHidden/>
              </w:rPr>
            </w:r>
            <w:r w:rsidR="005A5DC2">
              <w:rPr>
                <w:noProof/>
                <w:webHidden/>
              </w:rPr>
              <w:fldChar w:fldCharType="separate"/>
            </w:r>
            <w:r w:rsidR="005A5DC2">
              <w:rPr>
                <w:noProof/>
                <w:webHidden/>
              </w:rPr>
              <w:t>6</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77" w:history="1">
            <w:r w:rsidR="005A5DC2" w:rsidRPr="0006231C">
              <w:rPr>
                <w:rStyle w:val="Hipervnculo"/>
                <w:noProof/>
              </w:rPr>
              <w:t>1.2</w:t>
            </w:r>
            <w:r w:rsidR="005A5DC2">
              <w:rPr>
                <w:rFonts w:eastAsiaTheme="minorEastAsia"/>
                <w:b w:val="0"/>
                <w:bCs w:val="0"/>
                <w:noProof/>
                <w:lang w:val="es-CO" w:eastAsia="es-CO"/>
              </w:rPr>
              <w:tab/>
            </w:r>
            <w:r w:rsidR="005A5DC2" w:rsidRPr="0006231C">
              <w:rPr>
                <w:rStyle w:val="Hipervnculo"/>
                <w:noProof/>
              </w:rPr>
              <w:t>Gestión Presupuestal Ministerio de Transporte</w:t>
            </w:r>
            <w:r w:rsidR="005A5DC2">
              <w:rPr>
                <w:noProof/>
                <w:webHidden/>
              </w:rPr>
              <w:tab/>
            </w:r>
            <w:r w:rsidR="005A5DC2">
              <w:rPr>
                <w:noProof/>
                <w:webHidden/>
              </w:rPr>
              <w:fldChar w:fldCharType="begin"/>
            </w:r>
            <w:r w:rsidR="005A5DC2">
              <w:rPr>
                <w:noProof/>
                <w:webHidden/>
              </w:rPr>
              <w:instrText xml:space="preserve"> PAGEREF _Toc505003477 \h </w:instrText>
            </w:r>
            <w:r w:rsidR="005A5DC2">
              <w:rPr>
                <w:noProof/>
                <w:webHidden/>
              </w:rPr>
            </w:r>
            <w:r w:rsidR="005A5DC2">
              <w:rPr>
                <w:noProof/>
                <w:webHidden/>
              </w:rPr>
              <w:fldChar w:fldCharType="separate"/>
            </w:r>
            <w:r w:rsidR="005A5DC2">
              <w:rPr>
                <w:noProof/>
                <w:webHidden/>
              </w:rPr>
              <w:t>8</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78" w:history="1">
            <w:r w:rsidR="005A5DC2" w:rsidRPr="0006231C">
              <w:rPr>
                <w:rStyle w:val="Hipervnculo"/>
                <w:noProof/>
              </w:rPr>
              <w:t>2.</w:t>
            </w:r>
            <w:r w:rsidR="005A5DC2">
              <w:rPr>
                <w:rFonts w:eastAsiaTheme="minorEastAsia"/>
                <w:b w:val="0"/>
                <w:bCs w:val="0"/>
                <w:i w:val="0"/>
                <w:iCs w:val="0"/>
                <w:noProof/>
                <w:sz w:val="22"/>
                <w:szCs w:val="22"/>
                <w:lang w:val="es-CO" w:eastAsia="es-CO"/>
              </w:rPr>
              <w:tab/>
            </w:r>
            <w:r w:rsidR="005A5DC2" w:rsidRPr="0006231C">
              <w:rPr>
                <w:rStyle w:val="Hipervnculo"/>
                <w:noProof/>
              </w:rPr>
              <w:t>DESARROLLO INSTITUCIONAL EN EL SECTOR TRANSPORTE</w:t>
            </w:r>
            <w:r w:rsidR="005A5DC2">
              <w:rPr>
                <w:noProof/>
                <w:webHidden/>
              </w:rPr>
              <w:tab/>
            </w:r>
            <w:r w:rsidR="005A5DC2">
              <w:rPr>
                <w:noProof/>
                <w:webHidden/>
              </w:rPr>
              <w:fldChar w:fldCharType="begin"/>
            </w:r>
            <w:r w:rsidR="005A5DC2">
              <w:rPr>
                <w:noProof/>
                <w:webHidden/>
              </w:rPr>
              <w:instrText xml:space="preserve"> PAGEREF _Toc505003478 \h </w:instrText>
            </w:r>
            <w:r w:rsidR="005A5DC2">
              <w:rPr>
                <w:noProof/>
                <w:webHidden/>
              </w:rPr>
            </w:r>
            <w:r w:rsidR="005A5DC2">
              <w:rPr>
                <w:noProof/>
                <w:webHidden/>
              </w:rPr>
              <w:fldChar w:fldCharType="separate"/>
            </w:r>
            <w:r w:rsidR="005A5DC2">
              <w:rPr>
                <w:noProof/>
                <w:webHidden/>
              </w:rPr>
              <w:t>12</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79" w:history="1">
            <w:r w:rsidR="005A5DC2" w:rsidRPr="0006231C">
              <w:rPr>
                <w:rStyle w:val="Hipervnculo"/>
                <w:noProof/>
              </w:rPr>
              <w:t>3.</w:t>
            </w:r>
            <w:r w:rsidR="005A5DC2">
              <w:rPr>
                <w:rFonts w:eastAsiaTheme="minorEastAsia"/>
                <w:b w:val="0"/>
                <w:bCs w:val="0"/>
                <w:i w:val="0"/>
                <w:iCs w:val="0"/>
                <w:noProof/>
                <w:sz w:val="22"/>
                <w:szCs w:val="22"/>
                <w:lang w:val="es-CO" w:eastAsia="es-CO"/>
              </w:rPr>
              <w:tab/>
            </w:r>
            <w:r w:rsidR="005A5DC2" w:rsidRPr="0006231C">
              <w:rPr>
                <w:rStyle w:val="Hipervnculo"/>
                <w:noProof/>
              </w:rPr>
              <w:t>INFRAESTRUCTURA COMPETITIVA E INTEGRADORA</w:t>
            </w:r>
            <w:r w:rsidR="005A5DC2">
              <w:rPr>
                <w:noProof/>
                <w:webHidden/>
              </w:rPr>
              <w:tab/>
            </w:r>
            <w:r w:rsidR="005A5DC2">
              <w:rPr>
                <w:noProof/>
                <w:webHidden/>
              </w:rPr>
              <w:fldChar w:fldCharType="begin"/>
            </w:r>
            <w:r w:rsidR="005A5DC2">
              <w:rPr>
                <w:noProof/>
                <w:webHidden/>
              </w:rPr>
              <w:instrText xml:space="preserve"> PAGEREF _Toc505003479 \h </w:instrText>
            </w:r>
            <w:r w:rsidR="005A5DC2">
              <w:rPr>
                <w:noProof/>
                <w:webHidden/>
              </w:rPr>
            </w:r>
            <w:r w:rsidR="005A5DC2">
              <w:rPr>
                <w:noProof/>
                <w:webHidden/>
              </w:rPr>
              <w:fldChar w:fldCharType="separate"/>
            </w:r>
            <w:r w:rsidR="005A5DC2">
              <w:rPr>
                <w:noProof/>
                <w:webHidden/>
              </w:rPr>
              <w:t>14</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0" w:history="1">
            <w:r w:rsidR="005A5DC2" w:rsidRPr="0006231C">
              <w:rPr>
                <w:rStyle w:val="Hipervnculo"/>
                <w:noProof/>
              </w:rPr>
              <w:t>3.1</w:t>
            </w:r>
            <w:r w:rsidR="005A5DC2">
              <w:rPr>
                <w:rFonts w:eastAsiaTheme="minorEastAsia"/>
                <w:b w:val="0"/>
                <w:bCs w:val="0"/>
                <w:noProof/>
                <w:lang w:val="es-CO" w:eastAsia="es-CO"/>
              </w:rPr>
              <w:tab/>
            </w:r>
            <w:r w:rsidR="005A5DC2" w:rsidRPr="0006231C">
              <w:rPr>
                <w:rStyle w:val="Hipervnculo"/>
                <w:noProof/>
              </w:rPr>
              <w:t>Política pública de infraestructura</w:t>
            </w:r>
            <w:r w:rsidR="005A5DC2">
              <w:rPr>
                <w:noProof/>
                <w:webHidden/>
              </w:rPr>
              <w:tab/>
            </w:r>
            <w:r w:rsidR="005A5DC2">
              <w:rPr>
                <w:noProof/>
                <w:webHidden/>
              </w:rPr>
              <w:fldChar w:fldCharType="begin"/>
            </w:r>
            <w:r w:rsidR="005A5DC2">
              <w:rPr>
                <w:noProof/>
                <w:webHidden/>
              </w:rPr>
              <w:instrText xml:space="preserve"> PAGEREF _Toc505003480 \h </w:instrText>
            </w:r>
            <w:r w:rsidR="005A5DC2">
              <w:rPr>
                <w:noProof/>
                <w:webHidden/>
              </w:rPr>
            </w:r>
            <w:r w:rsidR="005A5DC2">
              <w:rPr>
                <w:noProof/>
                <w:webHidden/>
              </w:rPr>
              <w:fldChar w:fldCharType="separate"/>
            </w:r>
            <w:r w:rsidR="005A5DC2">
              <w:rPr>
                <w:noProof/>
                <w:webHidden/>
              </w:rPr>
              <w:t>14</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1" w:history="1">
            <w:r w:rsidR="005A5DC2" w:rsidRPr="0006231C">
              <w:rPr>
                <w:rStyle w:val="Hipervnculo"/>
                <w:noProof/>
              </w:rPr>
              <w:t>3.2</w:t>
            </w:r>
            <w:r w:rsidR="005A5DC2">
              <w:rPr>
                <w:rFonts w:eastAsiaTheme="minorEastAsia"/>
                <w:b w:val="0"/>
                <w:bCs w:val="0"/>
                <w:noProof/>
                <w:lang w:val="es-CO" w:eastAsia="es-CO"/>
              </w:rPr>
              <w:tab/>
            </w:r>
            <w:r w:rsidR="005A5DC2" w:rsidRPr="0006231C">
              <w:rPr>
                <w:rStyle w:val="Hipervnculo"/>
                <w:noProof/>
              </w:rPr>
              <w:t>Modelo de Gestión de Red Terciaria</w:t>
            </w:r>
            <w:r w:rsidR="005A5DC2">
              <w:rPr>
                <w:noProof/>
                <w:webHidden/>
              </w:rPr>
              <w:tab/>
            </w:r>
            <w:r w:rsidR="005A5DC2">
              <w:rPr>
                <w:noProof/>
                <w:webHidden/>
              </w:rPr>
              <w:fldChar w:fldCharType="begin"/>
            </w:r>
            <w:r w:rsidR="005A5DC2">
              <w:rPr>
                <w:noProof/>
                <w:webHidden/>
              </w:rPr>
              <w:instrText xml:space="preserve"> PAGEREF _Toc505003481 \h </w:instrText>
            </w:r>
            <w:r w:rsidR="005A5DC2">
              <w:rPr>
                <w:noProof/>
                <w:webHidden/>
              </w:rPr>
            </w:r>
            <w:r w:rsidR="005A5DC2">
              <w:rPr>
                <w:noProof/>
                <w:webHidden/>
              </w:rPr>
              <w:fldChar w:fldCharType="separate"/>
            </w:r>
            <w:r w:rsidR="005A5DC2">
              <w:rPr>
                <w:noProof/>
                <w:webHidden/>
              </w:rPr>
              <w:t>18</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2" w:history="1">
            <w:r w:rsidR="005A5DC2" w:rsidRPr="0006231C">
              <w:rPr>
                <w:rStyle w:val="Hipervnculo"/>
                <w:noProof/>
              </w:rPr>
              <w:t>3.3</w:t>
            </w:r>
            <w:r w:rsidR="005A5DC2">
              <w:rPr>
                <w:rFonts w:eastAsiaTheme="minorEastAsia"/>
                <w:b w:val="0"/>
                <w:bCs w:val="0"/>
                <w:noProof/>
                <w:lang w:val="es-CO" w:eastAsia="es-CO"/>
              </w:rPr>
              <w:tab/>
            </w:r>
            <w:r w:rsidR="005A5DC2" w:rsidRPr="0006231C">
              <w:rPr>
                <w:rStyle w:val="Hipervnculo"/>
                <w:noProof/>
              </w:rPr>
              <w:t>Formulación de políticas de infraestructura de transporte</w:t>
            </w:r>
            <w:r w:rsidR="005A5DC2">
              <w:rPr>
                <w:noProof/>
                <w:webHidden/>
              </w:rPr>
              <w:tab/>
            </w:r>
            <w:r w:rsidR="005A5DC2">
              <w:rPr>
                <w:noProof/>
                <w:webHidden/>
              </w:rPr>
              <w:fldChar w:fldCharType="begin"/>
            </w:r>
            <w:r w:rsidR="005A5DC2">
              <w:rPr>
                <w:noProof/>
                <w:webHidden/>
              </w:rPr>
              <w:instrText xml:space="preserve"> PAGEREF _Toc505003482 \h </w:instrText>
            </w:r>
            <w:r w:rsidR="005A5DC2">
              <w:rPr>
                <w:noProof/>
                <w:webHidden/>
              </w:rPr>
            </w:r>
            <w:r w:rsidR="005A5DC2">
              <w:rPr>
                <w:noProof/>
                <w:webHidden/>
              </w:rPr>
              <w:fldChar w:fldCharType="separate"/>
            </w:r>
            <w:r w:rsidR="005A5DC2">
              <w:rPr>
                <w:noProof/>
                <w:webHidden/>
              </w:rPr>
              <w:t>19</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3" w:history="1">
            <w:r w:rsidR="005A5DC2" w:rsidRPr="0006231C">
              <w:rPr>
                <w:rStyle w:val="Hipervnculo"/>
                <w:noProof/>
              </w:rPr>
              <w:t>3.4</w:t>
            </w:r>
            <w:r w:rsidR="005A5DC2">
              <w:rPr>
                <w:rFonts w:eastAsiaTheme="minorEastAsia"/>
                <w:b w:val="0"/>
                <w:bCs w:val="0"/>
                <w:noProof/>
                <w:lang w:val="es-CO" w:eastAsia="es-CO"/>
              </w:rPr>
              <w:tab/>
            </w:r>
            <w:r w:rsidR="005A5DC2" w:rsidRPr="0006231C">
              <w:rPr>
                <w:rStyle w:val="Hipervnculo"/>
                <w:noProof/>
              </w:rPr>
              <w:t>Desarrollo de infraestructura de transporte</w:t>
            </w:r>
            <w:r w:rsidR="005A5DC2">
              <w:rPr>
                <w:noProof/>
                <w:webHidden/>
              </w:rPr>
              <w:tab/>
            </w:r>
            <w:r w:rsidR="005A5DC2">
              <w:rPr>
                <w:noProof/>
                <w:webHidden/>
              </w:rPr>
              <w:fldChar w:fldCharType="begin"/>
            </w:r>
            <w:r w:rsidR="005A5DC2">
              <w:rPr>
                <w:noProof/>
                <w:webHidden/>
              </w:rPr>
              <w:instrText xml:space="preserve"> PAGEREF _Toc505003483 \h </w:instrText>
            </w:r>
            <w:r w:rsidR="005A5DC2">
              <w:rPr>
                <w:noProof/>
                <w:webHidden/>
              </w:rPr>
            </w:r>
            <w:r w:rsidR="005A5DC2">
              <w:rPr>
                <w:noProof/>
                <w:webHidden/>
              </w:rPr>
              <w:fldChar w:fldCharType="separate"/>
            </w:r>
            <w:r w:rsidR="005A5DC2">
              <w:rPr>
                <w:noProof/>
                <w:webHidden/>
              </w:rPr>
              <w:t>29</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4" w:history="1">
            <w:r w:rsidR="005A5DC2" w:rsidRPr="0006231C">
              <w:rPr>
                <w:rStyle w:val="Hipervnculo"/>
                <w:noProof/>
              </w:rPr>
              <w:t>3.5</w:t>
            </w:r>
            <w:r w:rsidR="005A5DC2">
              <w:rPr>
                <w:rFonts w:eastAsiaTheme="minorEastAsia"/>
                <w:b w:val="0"/>
                <w:bCs w:val="0"/>
                <w:noProof/>
                <w:lang w:val="es-CO" w:eastAsia="es-CO"/>
              </w:rPr>
              <w:tab/>
            </w:r>
            <w:r w:rsidR="005A5DC2" w:rsidRPr="0006231C">
              <w:rPr>
                <w:rStyle w:val="Hipervnculo"/>
                <w:noProof/>
              </w:rPr>
              <w:t>Sistema General de Regalías -SGR</w:t>
            </w:r>
            <w:r w:rsidR="005A5DC2">
              <w:rPr>
                <w:noProof/>
                <w:webHidden/>
              </w:rPr>
              <w:tab/>
            </w:r>
            <w:r w:rsidR="005A5DC2">
              <w:rPr>
                <w:noProof/>
                <w:webHidden/>
              </w:rPr>
              <w:fldChar w:fldCharType="begin"/>
            </w:r>
            <w:r w:rsidR="005A5DC2">
              <w:rPr>
                <w:noProof/>
                <w:webHidden/>
              </w:rPr>
              <w:instrText xml:space="preserve"> PAGEREF _Toc505003484 \h </w:instrText>
            </w:r>
            <w:r w:rsidR="005A5DC2">
              <w:rPr>
                <w:noProof/>
                <w:webHidden/>
              </w:rPr>
            </w:r>
            <w:r w:rsidR="005A5DC2">
              <w:rPr>
                <w:noProof/>
                <w:webHidden/>
              </w:rPr>
              <w:fldChar w:fldCharType="separate"/>
            </w:r>
            <w:r w:rsidR="005A5DC2">
              <w:rPr>
                <w:noProof/>
                <w:webHidden/>
              </w:rPr>
              <w:t>33</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5" w:history="1">
            <w:r w:rsidR="005A5DC2" w:rsidRPr="0006231C">
              <w:rPr>
                <w:rStyle w:val="Hipervnculo"/>
                <w:noProof/>
              </w:rPr>
              <w:t>3.6</w:t>
            </w:r>
            <w:r w:rsidR="005A5DC2">
              <w:rPr>
                <w:rFonts w:eastAsiaTheme="minorEastAsia"/>
                <w:b w:val="0"/>
                <w:bCs w:val="0"/>
                <w:noProof/>
                <w:lang w:val="es-CO" w:eastAsia="es-CO"/>
              </w:rPr>
              <w:tab/>
            </w:r>
            <w:r w:rsidR="005A5DC2" w:rsidRPr="0006231C">
              <w:rPr>
                <w:rStyle w:val="Hipervnculo"/>
                <w:noProof/>
              </w:rPr>
              <w:t>Proyectos de Interés Nacional y Estratégicos – PINES</w:t>
            </w:r>
            <w:r w:rsidR="005A5DC2">
              <w:rPr>
                <w:noProof/>
                <w:webHidden/>
              </w:rPr>
              <w:tab/>
            </w:r>
            <w:r w:rsidR="005A5DC2">
              <w:rPr>
                <w:noProof/>
                <w:webHidden/>
              </w:rPr>
              <w:fldChar w:fldCharType="begin"/>
            </w:r>
            <w:r w:rsidR="005A5DC2">
              <w:rPr>
                <w:noProof/>
                <w:webHidden/>
              </w:rPr>
              <w:instrText xml:space="preserve"> PAGEREF _Toc505003485 \h </w:instrText>
            </w:r>
            <w:r w:rsidR="005A5DC2">
              <w:rPr>
                <w:noProof/>
                <w:webHidden/>
              </w:rPr>
            </w:r>
            <w:r w:rsidR="005A5DC2">
              <w:rPr>
                <w:noProof/>
                <w:webHidden/>
              </w:rPr>
              <w:fldChar w:fldCharType="separate"/>
            </w:r>
            <w:r w:rsidR="005A5DC2">
              <w:rPr>
                <w:noProof/>
                <w:webHidden/>
              </w:rPr>
              <w:t>36</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86" w:history="1">
            <w:r w:rsidR="005A5DC2" w:rsidRPr="0006231C">
              <w:rPr>
                <w:rStyle w:val="Hipervnculo"/>
                <w:noProof/>
              </w:rPr>
              <w:t>4.</w:t>
            </w:r>
            <w:r w:rsidR="005A5DC2">
              <w:rPr>
                <w:rFonts w:eastAsiaTheme="minorEastAsia"/>
                <w:b w:val="0"/>
                <w:bCs w:val="0"/>
                <w:i w:val="0"/>
                <w:iCs w:val="0"/>
                <w:noProof/>
                <w:sz w:val="22"/>
                <w:szCs w:val="22"/>
                <w:lang w:val="es-CO" w:eastAsia="es-CO"/>
              </w:rPr>
              <w:tab/>
            </w:r>
            <w:r w:rsidR="005A5DC2" w:rsidRPr="0006231C">
              <w:rPr>
                <w:rStyle w:val="Hipervnculo"/>
                <w:noProof/>
              </w:rPr>
              <w:t>POLÍTICAS EN MATERIA DE TRANSPORTE</w:t>
            </w:r>
            <w:r w:rsidR="005A5DC2">
              <w:rPr>
                <w:noProof/>
                <w:webHidden/>
              </w:rPr>
              <w:tab/>
            </w:r>
            <w:r w:rsidR="005A5DC2">
              <w:rPr>
                <w:noProof/>
                <w:webHidden/>
              </w:rPr>
              <w:fldChar w:fldCharType="begin"/>
            </w:r>
            <w:r w:rsidR="005A5DC2">
              <w:rPr>
                <w:noProof/>
                <w:webHidden/>
              </w:rPr>
              <w:instrText xml:space="preserve"> PAGEREF _Toc505003486 \h </w:instrText>
            </w:r>
            <w:r w:rsidR="005A5DC2">
              <w:rPr>
                <w:noProof/>
                <w:webHidden/>
              </w:rPr>
            </w:r>
            <w:r w:rsidR="005A5DC2">
              <w:rPr>
                <w:noProof/>
                <w:webHidden/>
              </w:rPr>
              <w:fldChar w:fldCharType="separate"/>
            </w:r>
            <w:r w:rsidR="005A5DC2">
              <w:rPr>
                <w:noProof/>
                <w:webHidden/>
              </w:rPr>
              <w:t>38</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7" w:history="1">
            <w:r w:rsidR="005A5DC2" w:rsidRPr="0006231C">
              <w:rPr>
                <w:rStyle w:val="Hipervnculo"/>
                <w:noProof/>
                <w:lang w:val="es-CO"/>
              </w:rPr>
              <w:t>4.1</w:t>
            </w:r>
            <w:r w:rsidR="005A5DC2">
              <w:rPr>
                <w:rFonts w:eastAsiaTheme="minorEastAsia"/>
                <w:b w:val="0"/>
                <w:bCs w:val="0"/>
                <w:noProof/>
                <w:lang w:val="es-CO" w:eastAsia="es-CO"/>
              </w:rPr>
              <w:tab/>
            </w:r>
            <w:r w:rsidR="005A5DC2" w:rsidRPr="0006231C">
              <w:rPr>
                <w:rStyle w:val="Hipervnculo"/>
                <w:noProof/>
                <w:lang w:val="es-CO"/>
              </w:rPr>
              <w:t>Metro de Bogotá</w:t>
            </w:r>
            <w:r w:rsidR="005A5DC2">
              <w:rPr>
                <w:noProof/>
                <w:webHidden/>
              </w:rPr>
              <w:tab/>
            </w:r>
            <w:r w:rsidR="005A5DC2">
              <w:rPr>
                <w:noProof/>
                <w:webHidden/>
              </w:rPr>
              <w:fldChar w:fldCharType="begin"/>
            </w:r>
            <w:r w:rsidR="005A5DC2">
              <w:rPr>
                <w:noProof/>
                <w:webHidden/>
              </w:rPr>
              <w:instrText xml:space="preserve"> PAGEREF _Toc505003487 \h </w:instrText>
            </w:r>
            <w:r w:rsidR="005A5DC2">
              <w:rPr>
                <w:noProof/>
                <w:webHidden/>
              </w:rPr>
            </w:r>
            <w:r w:rsidR="005A5DC2">
              <w:rPr>
                <w:noProof/>
                <w:webHidden/>
              </w:rPr>
              <w:fldChar w:fldCharType="separate"/>
            </w:r>
            <w:r w:rsidR="005A5DC2">
              <w:rPr>
                <w:noProof/>
                <w:webHidden/>
              </w:rPr>
              <w:t>38</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8" w:history="1">
            <w:r w:rsidR="005A5DC2" w:rsidRPr="0006231C">
              <w:rPr>
                <w:rStyle w:val="Hipervnculo"/>
                <w:noProof/>
                <w:lang w:val="es-CO"/>
              </w:rPr>
              <w:t>4.2</w:t>
            </w:r>
            <w:r w:rsidR="005A5DC2">
              <w:rPr>
                <w:rFonts w:eastAsiaTheme="minorEastAsia"/>
                <w:b w:val="0"/>
                <w:bCs w:val="0"/>
                <w:noProof/>
                <w:lang w:val="es-CO" w:eastAsia="es-CO"/>
              </w:rPr>
              <w:tab/>
            </w:r>
            <w:r w:rsidR="005A5DC2" w:rsidRPr="0006231C">
              <w:rPr>
                <w:rStyle w:val="Hipervnculo"/>
                <w:noProof/>
                <w:lang w:val="es-CO"/>
              </w:rPr>
              <w:t>Regiotram</w:t>
            </w:r>
            <w:r w:rsidR="005A5DC2">
              <w:rPr>
                <w:noProof/>
                <w:webHidden/>
              </w:rPr>
              <w:tab/>
            </w:r>
            <w:r w:rsidR="005A5DC2">
              <w:rPr>
                <w:noProof/>
                <w:webHidden/>
              </w:rPr>
              <w:fldChar w:fldCharType="begin"/>
            </w:r>
            <w:r w:rsidR="005A5DC2">
              <w:rPr>
                <w:noProof/>
                <w:webHidden/>
              </w:rPr>
              <w:instrText xml:space="preserve"> PAGEREF _Toc505003488 \h </w:instrText>
            </w:r>
            <w:r w:rsidR="005A5DC2">
              <w:rPr>
                <w:noProof/>
                <w:webHidden/>
              </w:rPr>
            </w:r>
            <w:r w:rsidR="005A5DC2">
              <w:rPr>
                <w:noProof/>
                <w:webHidden/>
              </w:rPr>
              <w:fldChar w:fldCharType="separate"/>
            </w:r>
            <w:r w:rsidR="005A5DC2">
              <w:rPr>
                <w:noProof/>
                <w:webHidden/>
              </w:rPr>
              <w:t>40</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89" w:history="1">
            <w:r w:rsidR="005A5DC2" w:rsidRPr="0006231C">
              <w:rPr>
                <w:rStyle w:val="Hipervnculo"/>
                <w:noProof/>
                <w:lang w:val="es-CO"/>
              </w:rPr>
              <w:t>4.3</w:t>
            </w:r>
            <w:r w:rsidR="005A5DC2">
              <w:rPr>
                <w:rFonts w:eastAsiaTheme="minorEastAsia"/>
                <w:b w:val="0"/>
                <w:bCs w:val="0"/>
                <w:noProof/>
                <w:lang w:val="es-CO" w:eastAsia="es-CO"/>
              </w:rPr>
              <w:tab/>
            </w:r>
            <w:r w:rsidR="005A5DC2" w:rsidRPr="0006231C">
              <w:rPr>
                <w:rStyle w:val="Hipervnculo"/>
                <w:noProof/>
                <w:lang w:val="es-CO"/>
              </w:rPr>
              <w:t>Transmilenio Soacha Fases II y III</w:t>
            </w:r>
            <w:r w:rsidR="005A5DC2">
              <w:rPr>
                <w:noProof/>
                <w:webHidden/>
              </w:rPr>
              <w:tab/>
            </w:r>
            <w:r w:rsidR="005A5DC2">
              <w:rPr>
                <w:noProof/>
                <w:webHidden/>
              </w:rPr>
              <w:fldChar w:fldCharType="begin"/>
            </w:r>
            <w:r w:rsidR="005A5DC2">
              <w:rPr>
                <w:noProof/>
                <w:webHidden/>
              </w:rPr>
              <w:instrText xml:space="preserve"> PAGEREF _Toc505003489 \h </w:instrText>
            </w:r>
            <w:r w:rsidR="005A5DC2">
              <w:rPr>
                <w:noProof/>
                <w:webHidden/>
              </w:rPr>
            </w:r>
            <w:r w:rsidR="005A5DC2">
              <w:rPr>
                <w:noProof/>
                <w:webHidden/>
              </w:rPr>
              <w:fldChar w:fldCharType="separate"/>
            </w:r>
            <w:r w:rsidR="005A5DC2">
              <w:rPr>
                <w:noProof/>
                <w:webHidden/>
              </w:rPr>
              <w:t>41</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0" w:history="1">
            <w:r w:rsidR="005A5DC2" w:rsidRPr="0006231C">
              <w:rPr>
                <w:rStyle w:val="Hipervnculo"/>
                <w:noProof/>
                <w:lang w:val="es-CO"/>
              </w:rPr>
              <w:t>4.4</w:t>
            </w:r>
            <w:r w:rsidR="005A5DC2">
              <w:rPr>
                <w:rFonts w:eastAsiaTheme="minorEastAsia"/>
                <w:b w:val="0"/>
                <w:bCs w:val="0"/>
                <w:noProof/>
                <w:lang w:val="es-CO" w:eastAsia="es-CO"/>
              </w:rPr>
              <w:tab/>
            </w:r>
            <w:r w:rsidR="005A5DC2" w:rsidRPr="0006231C">
              <w:rPr>
                <w:rStyle w:val="Hipervnculo"/>
                <w:noProof/>
                <w:lang w:val="es-CO"/>
              </w:rPr>
              <w:t>Política Pública en Transporte</w:t>
            </w:r>
            <w:r w:rsidR="005A5DC2">
              <w:rPr>
                <w:noProof/>
                <w:webHidden/>
              </w:rPr>
              <w:tab/>
            </w:r>
            <w:r w:rsidR="005A5DC2">
              <w:rPr>
                <w:noProof/>
                <w:webHidden/>
              </w:rPr>
              <w:fldChar w:fldCharType="begin"/>
            </w:r>
            <w:r w:rsidR="005A5DC2">
              <w:rPr>
                <w:noProof/>
                <w:webHidden/>
              </w:rPr>
              <w:instrText xml:space="preserve"> PAGEREF _Toc505003490 \h </w:instrText>
            </w:r>
            <w:r w:rsidR="005A5DC2">
              <w:rPr>
                <w:noProof/>
                <w:webHidden/>
              </w:rPr>
            </w:r>
            <w:r w:rsidR="005A5DC2">
              <w:rPr>
                <w:noProof/>
                <w:webHidden/>
              </w:rPr>
              <w:fldChar w:fldCharType="separate"/>
            </w:r>
            <w:r w:rsidR="005A5DC2">
              <w:rPr>
                <w:noProof/>
                <w:webHidden/>
              </w:rPr>
              <w:t>42</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1" w:history="1">
            <w:r w:rsidR="005A5DC2" w:rsidRPr="0006231C">
              <w:rPr>
                <w:rStyle w:val="Hipervnculo"/>
                <w:noProof/>
                <w:lang w:val="es-CO"/>
              </w:rPr>
              <w:t>4.5</w:t>
            </w:r>
            <w:r w:rsidR="005A5DC2">
              <w:rPr>
                <w:rFonts w:eastAsiaTheme="minorEastAsia"/>
                <w:b w:val="0"/>
                <w:bCs w:val="0"/>
                <w:noProof/>
                <w:lang w:val="es-CO" w:eastAsia="es-CO"/>
              </w:rPr>
              <w:tab/>
            </w:r>
            <w:r w:rsidR="005A5DC2" w:rsidRPr="0006231C">
              <w:rPr>
                <w:rStyle w:val="Hipervnculo"/>
                <w:noProof/>
                <w:lang w:val="es-CO"/>
              </w:rPr>
              <w:t>Reposición integral vehicular</w:t>
            </w:r>
            <w:r w:rsidR="005A5DC2">
              <w:rPr>
                <w:noProof/>
                <w:webHidden/>
              </w:rPr>
              <w:tab/>
            </w:r>
            <w:r w:rsidR="005A5DC2">
              <w:rPr>
                <w:noProof/>
                <w:webHidden/>
              </w:rPr>
              <w:fldChar w:fldCharType="begin"/>
            </w:r>
            <w:r w:rsidR="005A5DC2">
              <w:rPr>
                <w:noProof/>
                <w:webHidden/>
              </w:rPr>
              <w:instrText xml:space="preserve"> PAGEREF _Toc505003491 \h </w:instrText>
            </w:r>
            <w:r w:rsidR="005A5DC2">
              <w:rPr>
                <w:noProof/>
                <w:webHidden/>
              </w:rPr>
            </w:r>
            <w:r w:rsidR="005A5DC2">
              <w:rPr>
                <w:noProof/>
                <w:webHidden/>
              </w:rPr>
              <w:fldChar w:fldCharType="separate"/>
            </w:r>
            <w:r w:rsidR="005A5DC2">
              <w:rPr>
                <w:noProof/>
                <w:webHidden/>
              </w:rPr>
              <w:t>43</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2" w:history="1">
            <w:r w:rsidR="005A5DC2" w:rsidRPr="0006231C">
              <w:rPr>
                <w:rStyle w:val="Hipervnculo"/>
                <w:noProof/>
                <w:lang w:val="es-CO"/>
              </w:rPr>
              <w:t>4.6</w:t>
            </w:r>
            <w:r w:rsidR="005A5DC2">
              <w:rPr>
                <w:rFonts w:eastAsiaTheme="minorEastAsia"/>
                <w:b w:val="0"/>
                <w:bCs w:val="0"/>
                <w:noProof/>
                <w:lang w:val="es-CO" w:eastAsia="es-CO"/>
              </w:rPr>
              <w:tab/>
            </w:r>
            <w:r w:rsidR="005A5DC2" w:rsidRPr="0006231C">
              <w:rPr>
                <w:rStyle w:val="Hipervnculo"/>
                <w:noProof/>
                <w:lang w:val="es-CO"/>
              </w:rPr>
              <w:t>Seguridad Vial</w:t>
            </w:r>
            <w:r w:rsidR="005A5DC2">
              <w:rPr>
                <w:noProof/>
                <w:webHidden/>
              </w:rPr>
              <w:tab/>
            </w:r>
            <w:r w:rsidR="005A5DC2">
              <w:rPr>
                <w:noProof/>
                <w:webHidden/>
              </w:rPr>
              <w:fldChar w:fldCharType="begin"/>
            </w:r>
            <w:r w:rsidR="005A5DC2">
              <w:rPr>
                <w:noProof/>
                <w:webHidden/>
              </w:rPr>
              <w:instrText xml:space="preserve"> PAGEREF _Toc505003492 \h </w:instrText>
            </w:r>
            <w:r w:rsidR="005A5DC2">
              <w:rPr>
                <w:noProof/>
                <w:webHidden/>
              </w:rPr>
            </w:r>
            <w:r w:rsidR="005A5DC2">
              <w:rPr>
                <w:noProof/>
                <w:webHidden/>
              </w:rPr>
              <w:fldChar w:fldCharType="separate"/>
            </w:r>
            <w:r w:rsidR="005A5DC2">
              <w:rPr>
                <w:noProof/>
                <w:webHidden/>
              </w:rPr>
              <w:t>45</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93" w:history="1">
            <w:r w:rsidR="005A5DC2" w:rsidRPr="0006231C">
              <w:rPr>
                <w:rStyle w:val="Hipervnculo"/>
                <w:noProof/>
              </w:rPr>
              <w:t>5.</w:t>
            </w:r>
            <w:r w:rsidR="005A5DC2">
              <w:rPr>
                <w:rFonts w:eastAsiaTheme="minorEastAsia"/>
                <w:b w:val="0"/>
                <w:bCs w:val="0"/>
                <w:i w:val="0"/>
                <w:iCs w:val="0"/>
                <w:noProof/>
                <w:sz w:val="22"/>
                <w:szCs w:val="22"/>
                <w:lang w:val="es-CO" w:eastAsia="es-CO"/>
              </w:rPr>
              <w:tab/>
            </w:r>
            <w:r w:rsidR="005A5DC2" w:rsidRPr="0006231C">
              <w:rPr>
                <w:rStyle w:val="Hipervnculo"/>
                <w:noProof/>
              </w:rPr>
              <w:t>MEDIO AMBIENTE Y DESARROLLO SOSTENIBLE</w:t>
            </w:r>
            <w:r w:rsidR="005A5DC2">
              <w:rPr>
                <w:noProof/>
                <w:webHidden/>
              </w:rPr>
              <w:tab/>
            </w:r>
            <w:r w:rsidR="005A5DC2">
              <w:rPr>
                <w:noProof/>
                <w:webHidden/>
              </w:rPr>
              <w:fldChar w:fldCharType="begin"/>
            </w:r>
            <w:r w:rsidR="005A5DC2">
              <w:rPr>
                <w:noProof/>
                <w:webHidden/>
              </w:rPr>
              <w:instrText xml:space="preserve"> PAGEREF _Toc505003493 \h </w:instrText>
            </w:r>
            <w:r w:rsidR="005A5DC2">
              <w:rPr>
                <w:noProof/>
                <w:webHidden/>
              </w:rPr>
            </w:r>
            <w:r w:rsidR="005A5DC2">
              <w:rPr>
                <w:noProof/>
                <w:webHidden/>
              </w:rPr>
              <w:fldChar w:fldCharType="separate"/>
            </w:r>
            <w:r w:rsidR="005A5DC2">
              <w:rPr>
                <w:noProof/>
                <w:webHidden/>
              </w:rPr>
              <w:t>47</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4" w:history="1">
            <w:r w:rsidR="005A5DC2" w:rsidRPr="0006231C">
              <w:rPr>
                <w:rStyle w:val="Hipervnculo"/>
                <w:noProof/>
              </w:rPr>
              <w:t>5.1</w:t>
            </w:r>
            <w:r w:rsidR="005A5DC2">
              <w:rPr>
                <w:rFonts w:eastAsiaTheme="minorEastAsia"/>
                <w:b w:val="0"/>
                <w:bCs w:val="0"/>
                <w:noProof/>
                <w:lang w:val="es-CO" w:eastAsia="es-CO"/>
              </w:rPr>
              <w:tab/>
            </w:r>
            <w:r w:rsidR="005A5DC2" w:rsidRPr="0006231C">
              <w:rPr>
                <w:rStyle w:val="Hipervnculo"/>
                <w:noProof/>
              </w:rPr>
              <w:t>Cambio Climático</w:t>
            </w:r>
            <w:r w:rsidR="005A5DC2">
              <w:rPr>
                <w:noProof/>
                <w:webHidden/>
              </w:rPr>
              <w:tab/>
            </w:r>
            <w:r w:rsidR="005A5DC2">
              <w:rPr>
                <w:noProof/>
                <w:webHidden/>
              </w:rPr>
              <w:fldChar w:fldCharType="begin"/>
            </w:r>
            <w:r w:rsidR="005A5DC2">
              <w:rPr>
                <w:noProof/>
                <w:webHidden/>
              </w:rPr>
              <w:instrText xml:space="preserve"> PAGEREF _Toc505003494 \h </w:instrText>
            </w:r>
            <w:r w:rsidR="005A5DC2">
              <w:rPr>
                <w:noProof/>
                <w:webHidden/>
              </w:rPr>
            </w:r>
            <w:r w:rsidR="005A5DC2">
              <w:rPr>
                <w:noProof/>
                <w:webHidden/>
              </w:rPr>
              <w:fldChar w:fldCharType="separate"/>
            </w:r>
            <w:r w:rsidR="005A5DC2">
              <w:rPr>
                <w:noProof/>
                <w:webHidden/>
              </w:rPr>
              <w:t>47</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5" w:history="1">
            <w:r w:rsidR="005A5DC2" w:rsidRPr="0006231C">
              <w:rPr>
                <w:rStyle w:val="Hipervnculo"/>
                <w:noProof/>
              </w:rPr>
              <w:t>5.2</w:t>
            </w:r>
            <w:r w:rsidR="005A5DC2">
              <w:rPr>
                <w:rFonts w:eastAsiaTheme="minorEastAsia"/>
                <w:b w:val="0"/>
                <w:bCs w:val="0"/>
                <w:noProof/>
                <w:lang w:val="es-CO" w:eastAsia="es-CO"/>
              </w:rPr>
              <w:tab/>
            </w:r>
            <w:r w:rsidR="005A5DC2" w:rsidRPr="0006231C">
              <w:rPr>
                <w:rStyle w:val="Hipervnculo"/>
                <w:noProof/>
              </w:rPr>
              <w:t>Gestión del Riesgo de Desastres- GRD</w:t>
            </w:r>
            <w:r w:rsidR="005A5DC2">
              <w:rPr>
                <w:noProof/>
                <w:webHidden/>
              </w:rPr>
              <w:tab/>
            </w:r>
            <w:r w:rsidR="005A5DC2">
              <w:rPr>
                <w:noProof/>
                <w:webHidden/>
              </w:rPr>
              <w:fldChar w:fldCharType="begin"/>
            </w:r>
            <w:r w:rsidR="005A5DC2">
              <w:rPr>
                <w:noProof/>
                <w:webHidden/>
              </w:rPr>
              <w:instrText xml:space="preserve"> PAGEREF _Toc505003495 \h </w:instrText>
            </w:r>
            <w:r w:rsidR="005A5DC2">
              <w:rPr>
                <w:noProof/>
                <w:webHidden/>
              </w:rPr>
            </w:r>
            <w:r w:rsidR="005A5DC2">
              <w:rPr>
                <w:noProof/>
                <w:webHidden/>
              </w:rPr>
              <w:fldChar w:fldCharType="separate"/>
            </w:r>
            <w:r w:rsidR="005A5DC2">
              <w:rPr>
                <w:noProof/>
                <w:webHidden/>
              </w:rPr>
              <w:t>48</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96" w:history="1">
            <w:r w:rsidR="005A5DC2" w:rsidRPr="0006231C">
              <w:rPr>
                <w:rStyle w:val="Hipervnculo"/>
                <w:noProof/>
              </w:rPr>
              <w:t>6.</w:t>
            </w:r>
            <w:r w:rsidR="005A5DC2">
              <w:rPr>
                <w:rFonts w:eastAsiaTheme="minorEastAsia"/>
                <w:b w:val="0"/>
                <w:bCs w:val="0"/>
                <w:i w:val="0"/>
                <w:iCs w:val="0"/>
                <w:noProof/>
                <w:sz w:val="22"/>
                <w:szCs w:val="22"/>
                <w:lang w:val="es-CO" w:eastAsia="es-CO"/>
              </w:rPr>
              <w:tab/>
            </w:r>
            <w:r w:rsidR="005A5DC2" w:rsidRPr="0006231C">
              <w:rPr>
                <w:rStyle w:val="Hipervnculo"/>
                <w:noProof/>
              </w:rPr>
              <w:t>REGULACIÓN ECONÓMICA</w:t>
            </w:r>
            <w:r w:rsidR="005A5DC2">
              <w:rPr>
                <w:noProof/>
                <w:webHidden/>
              </w:rPr>
              <w:tab/>
            </w:r>
            <w:r w:rsidR="005A5DC2">
              <w:rPr>
                <w:noProof/>
                <w:webHidden/>
              </w:rPr>
              <w:fldChar w:fldCharType="begin"/>
            </w:r>
            <w:r w:rsidR="005A5DC2">
              <w:rPr>
                <w:noProof/>
                <w:webHidden/>
              </w:rPr>
              <w:instrText xml:space="preserve"> PAGEREF _Toc505003496 \h </w:instrText>
            </w:r>
            <w:r w:rsidR="005A5DC2">
              <w:rPr>
                <w:noProof/>
                <w:webHidden/>
              </w:rPr>
            </w:r>
            <w:r w:rsidR="005A5DC2">
              <w:rPr>
                <w:noProof/>
                <w:webHidden/>
              </w:rPr>
              <w:fldChar w:fldCharType="separate"/>
            </w:r>
            <w:r w:rsidR="005A5DC2">
              <w:rPr>
                <w:noProof/>
                <w:webHidden/>
              </w:rPr>
              <w:t>51</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497" w:history="1">
            <w:r w:rsidR="005A5DC2" w:rsidRPr="0006231C">
              <w:rPr>
                <w:rStyle w:val="Hipervnculo"/>
                <w:noProof/>
              </w:rPr>
              <w:t>7.</w:t>
            </w:r>
            <w:r w:rsidR="005A5DC2">
              <w:rPr>
                <w:rFonts w:eastAsiaTheme="minorEastAsia"/>
                <w:b w:val="0"/>
                <w:bCs w:val="0"/>
                <w:i w:val="0"/>
                <w:iCs w:val="0"/>
                <w:noProof/>
                <w:sz w:val="22"/>
                <w:szCs w:val="22"/>
                <w:lang w:val="es-CO" w:eastAsia="es-CO"/>
              </w:rPr>
              <w:tab/>
            </w:r>
            <w:r w:rsidR="005A5DC2" w:rsidRPr="0006231C">
              <w:rPr>
                <w:rStyle w:val="Hipervnculo"/>
                <w:noProof/>
              </w:rPr>
              <w:t>APOYO A LA GESTIÓN MISIONAL</w:t>
            </w:r>
            <w:r w:rsidR="005A5DC2">
              <w:rPr>
                <w:noProof/>
                <w:webHidden/>
              </w:rPr>
              <w:tab/>
            </w:r>
            <w:r w:rsidR="005A5DC2">
              <w:rPr>
                <w:noProof/>
                <w:webHidden/>
              </w:rPr>
              <w:fldChar w:fldCharType="begin"/>
            </w:r>
            <w:r w:rsidR="005A5DC2">
              <w:rPr>
                <w:noProof/>
                <w:webHidden/>
              </w:rPr>
              <w:instrText xml:space="preserve"> PAGEREF _Toc505003497 \h </w:instrText>
            </w:r>
            <w:r w:rsidR="005A5DC2">
              <w:rPr>
                <w:noProof/>
                <w:webHidden/>
              </w:rPr>
            </w:r>
            <w:r w:rsidR="005A5DC2">
              <w:rPr>
                <w:noProof/>
                <w:webHidden/>
              </w:rPr>
              <w:fldChar w:fldCharType="separate"/>
            </w:r>
            <w:r w:rsidR="005A5DC2">
              <w:rPr>
                <w:noProof/>
                <w:webHidden/>
              </w:rPr>
              <w:t>54</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8" w:history="1">
            <w:r w:rsidR="005A5DC2" w:rsidRPr="0006231C">
              <w:rPr>
                <w:rStyle w:val="Hipervnculo"/>
                <w:noProof/>
              </w:rPr>
              <w:t>7.1</w:t>
            </w:r>
            <w:r w:rsidR="005A5DC2">
              <w:rPr>
                <w:rFonts w:eastAsiaTheme="minorEastAsia"/>
                <w:b w:val="0"/>
                <w:bCs w:val="0"/>
                <w:noProof/>
                <w:lang w:val="es-CO" w:eastAsia="es-CO"/>
              </w:rPr>
              <w:tab/>
            </w:r>
            <w:r w:rsidR="005A5DC2" w:rsidRPr="0006231C">
              <w:rPr>
                <w:rStyle w:val="Hipervnculo"/>
                <w:noProof/>
              </w:rPr>
              <w:t>Gestión del Talento Humano</w:t>
            </w:r>
            <w:r w:rsidR="005A5DC2">
              <w:rPr>
                <w:noProof/>
                <w:webHidden/>
              </w:rPr>
              <w:tab/>
            </w:r>
            <w:r w:rsidR="005A5DC2">
              <w:rPr>
                <w:noProof/>
                <w:webHidden/>
              </w:rPr>
              <w:fldChar w:fldCharType="begin"/>
            </w:r>
            <w:r w:rsidR="005A5DC2">
              <w:rPr>
                <w:noProof/>
                <w:webHidden/>
              </w:rPr>
              <w:instrText xml:space="preserve"> PAGEREF _Toc505003498 \h </w:instrText>
            </w:r>
            <w:r w:rsidR="005A5DC2">
              <w:rPr>
                <w:noProof/>
                <w:webHidden/>
              </w:rPr>
            </w:r>
            <w:r w:rsidR="005A5DC2">
              <w:rPr>
                <w:noProof/>
                <w:webHidden/>
              </w:rPr>
              <w:fldChar w:fldCharType="separate"/>
            </w:r>
            <w:r w:rsidR="005A5DC2">
              <w:rPr>
                <w:noProof/>
                <w:webHidden/>
              </w:rPr>
              <w:t>54</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499" w:history="1">
            <w:r w:rsidR="005A5DC2" w:rsidRPr="0006231C">
              <w:rPr>
                <w:rStyle w:val="Hipervnculo"/>
                <w:noProof/>
              </w:rPr>
              <w:t>7.2</w:t>
            </w:r>
            <w:r w:rsidR="005A5DC2">
              <w:rPr>
                <w:rFonts w:eastAsiaTheme="minorEastAsia"/>
                <w:b w:val="0"/>
                <w:bCs w:val="0"/>
                <w:noProof/>
                <w:lang w:val="es-CO" w:eastAsia="es-CO"/>
              </w:rPr>
              <w:tab/>
            </w:r>
            <w:r w:rsidR="005A5DC2" w:rsidRPr="0006231C">
              <w:rPr>
                <w:rStyle w:val="Hipervnculo"/>
                <w:noProof/>
              </w:rPr>
              <w:t>Gestión Administrativa y Financiera</w:t>
            </w:r>
            <w:r w:rsidR="005A5DC2">
              <w:rPr>
                <w:noProof/>
                <w:webHidden/>
              </w:rPr>
              <w:tab/>
            </w:r>
            <w:r w:rsidR="005A5DC2">
              <w:rPr>
                <w:noProof/>
                <w:webHidden/>
              </w:rPr>
              <w:fldChar w:fldCharType="begin"/>
            </w:r>
            <w:r w:rsidR="005A5DC2">
              <w:rPr>
                <w:noProof/>
                <w:webHidden/>
              </w:rPr>
              <w:instrText xml:space="preserve"> PAGEREF _Toc505003499 \h </w:instrText>
            </w:r>
            <w:r w:rsidR="005A5DC2">
              <w:rPr>
                <w:noProof/>
                <w:webHidden/>
              </w:rPr>
            </w:r>
            <w:r w:rsidR="005A5DC2">
              <w:rPr>
                <w:noProof/>
                <w:webHidden/>
              </w:rPr>
              <w:fldChar w:fldCharType="separate"/>
            </w:r>
            <w:r w:rsidR="005A5DC2">
              <w:rPr>
                <w:noProof/>
                <w:webHidden/>
              </w:rPr>
              <w:t>63</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500" w:history="1">
            <w:r w:rsidR="005A5DC2" w:rsidRPr="0006231C">
              <w:rPr>
                <w:rStyle w:val="Hipervnculo"/>
                <w:noProof/>
              </w:rPr>
              <w:t>7.3</w:t>
            </w:r>
            <w:r w:rsidR="005A5DC2">
              <w:rPr>
                <w:rFonts w:eastAsiaTheme="minorEastAsia"/>
                <w:b w:val="0"/>
                <w:bCs w:val="0"/>
                <w:noProof/>
                <w:lang w:val="es-CO" w:eastAsia="es-CO"/>
              </w:rPr>
              <w:tab/>
            </w:r>
            <w:r w:rsidR="005A5DC2" w:rsidRPr="0006231C">
              <w:rPr>
                <w:rStyle w:val="Hipervnculo"/>
                <w:noProof/>
              </w:rPr>
              <w:t>Gestión informática</w:t>
            </w:r>
            <w:r w:rsidR="005A5DC2">
              <w:rPr>
                <w:noProof/>
                <w:webHidden/>
              </w:rPr>
              <w:tab/>
            </w:r>
            <w:r w:rsidR="005A5DC2">
              <w:rPr>
                <w:noProof/>
                <w:webHidden/>
              </w:rPr>
              <w:fldChar w:fldCharType="begin"/>
            </w:r>
            <w:r w:rsidR="005A5DC2">
              <w:rPr>
                <w:noProof/>
                <w:webHidden/>
              </w:rPr>
              <w:instrText xml:space="preserve"> PAGEREF _Toc505003500 \h </w:instrText>
            </w:r>
            <w:r w:rsidR="005A5DC2">
              <w:rPr>
                <w:noProof/>
                <w:webHidden/>
              </w:rPr>
            </w:r>
            <w:r w:rsidR="005A5DC2">
              <w:rPr>
                <w:noProof/>
                <w:webHidden/>
              </w:rPr>
              <w:fldChar w:fldCharType="separate"/>
            </w:r>
            <w:r w:rsidR="005A5DC2">
              <w:rPr>
                <w:noProof/>
                <w:webHidden/>
              </w:rPr>
              <w:t>73</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501" w:history="1">
            <w:r w:rsidR="005A5DC2" w:rsidRPr="0006231C">
              <w:rPr>
                <w:rStyle w:val="Hipervnculo"/>
                <w:noProof/>
              </w:rPr>
              <w:t>8.</w:t>
            </w:r>
            <w:r w:rsidR="005A5DC2">
              <w:rPr>
                <w:rFonts w:eastAsiaTheme="minorEastAsia"/>
                <w:b w:val="0"/>
                <w:bCs w:val="0"/>
                <w:i w:val="0"/>
                <w:iCs w:val="0"/>
                <w:noProof/>
                <w:sz w:val="22"/>
                <w:szCs w:val="22"/>
                <w:lang w:val="es-CO" w:eastAsia="es-CO"/>
              </w:rPr>
              <w:tab/>
            </w:r>
            <w:r w:rsidR="005A5DC2" w:rsidRPr="0006231C">
              <w:rPr>
                <w:rStyle w:val="Hipervnculo"/>
                <w:noProof/>
              </w:rPr>
              <w:t>GESTIÓN CONTROL INTERNO</w:t>
            </w:r>
            <w:r w:rsidR="005A5DC2">
              <w:rPr>
                <w:noProof/>
                <w:webHidden/>
              </w:rPr>
              <w:tab/>
            </w:r>
            <w:r w:rsidR="005A5DC2">
              <w:rPr>
                <w:noProof/>
                <w:webHidden/>
              </w:rPr>
              <w:fldChar w:fldCharType="begin"/>
            </w:r>
            <w:r w:rsidR="005A5DC2">
              <w:rPr>
                <w:noProof/>
                <w:webHidden/>
              </w:rPr>
              <w:instrText xml:space="preserve"> PAGEREF _Toc505003501 \h </w:instrText>
            </w:r>
            <w:r w:rsidR="005A5DC2">
              <w:rPr>
                <w:noProof/>
                <w:webHidden/>
              </w:rPr>
            </w:r>
            <w:r w:rsidR="005A5DC2">
              <w:rPr>
                <w:noProof/>
                <w:webHidden/>
              </w:rPr>
              <w:fldChar w:fldCharType="separate"/>
            </w:r>
            <w:r w:rsidR="005A5DC2">
              <w:rPr>
                <w:noProof/>
                <w:webHidden/>
              </w:rPr>
              <w:t>82</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502" w:history="1">
            <w:r w:rsidR="005A5DC2" w:rsidRPr="0006231C">
              <w:rPr>
                <w:rStyle w:val="Hipervnculo"/>
                <w:noProof/>
              </w:rPr>
              <w:t>8.1</w:t>
            </w:r>
            <w:r w:rsidR="005A5DC2">
              <w:rPr>
                <w:rFonts w:eastAsiaTheme="minorEastAsia"/>
                <w:b w:val="0"/>
                <w:bCs w:val="0"/>
                <w:noProof/>
                <w:lang w:val="es-CO" w:eastAsia="es-CO"/>
              </w:rPr>
              <w:tab/>
            </w:r>
            <w:r w:rsidR="005A5DC2" w:rsidRPr="0006231C">
              <w:rPr>
                <w:rStyle w:val="Hipervnculo"/>
                <w:noProof/>
              </w:rPr>
              <w:t>Control Interno</w:t>
            </w:r>
            <w:r w:rsidR="005A5DC2">
              <w:rPr>
                <w:noProof/>
                <w:webHidden/>
              </w:rPr>
              <w:tab/>
            </w:r>
            <w:r w:rsidR="005A5DC2">
              <w:rPr>
                <w:noProof/>
                <w:webHidden/>
              </w:rPr>
              <w:fldChar w:fldCharType="begin"/>
            </w:r>
            <w:r w:rsidR="005A5DC2">
              <w:rPr>
                <w:noProof/>
                <w:webHidden/>
              </w:rPr>
              <w:instrText xml:space="preserve"> PAGEREF _Toc505003502 \h </w:instrText>
            </w:r>
            <w:r w:rsidR="005A5DC2">
              <w:rPr>
                <w:noProof/>
                <w:webHidden/>
              </w:rPr>
            </w:r>
            <w:r w:rsidR="005A5DC2">
              <w:rPr>
                <w:noProof/>
                <w:webHidden/>
              </w:rPr>
              <w:fldChar w:fldCharType="separate"/>
            </w:r>
            <w:r w:rsidR="005A5DC2">
              <w:rPr>
                <w:noProof/>
                <w:webHidden/>
              </w:rPr>
              <w:t>82</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503" w:history="1">
            <w:r w:rsidR="005A5DC2" w:rsidRPr="0006231C">
              <w:rPr>
                <w:rStyle w:val="Hipervnculo"/>
                <w:noProof/>
              </w:rPr>
              <w:t>8.2</w:t>
            </w:r>
            <w:r w:rsidR="005A5DC2">
              <w:rPr>
                <w:rFonts w:eastAsiaTheme="minorEastAsia"/>
                <w:b w:val="0"/>
                <w:bCs w:val="0"/>
                <w:noProof/>
                <w:lang w:val="es-CO" w:eastAsia="es-CO"/>
              </w:rPr>
              <w:tab/>
            </w:r>
            <w:r w:rsidR="005A5DC2" w:rsidRPr="0006231C">
              <w:rPr>
                <w:rStyle w:val="Hipervnculo"/>
                <w:noProof/>
              </w:rPr>
              <w:t>Control Interno Disciplinario</w:t>
            </w:r>
            <w:r w:rsidR="005A5DC2">
              <w:rPr>
                <w:noProof/>
                <w:webHidden/>
              </w:rPr>
              <w:tab/>
            </w:r>
            <w:r w:rsidR="005A5DC2">
              <w:rPr>
                <w:noProof/>
                <w:webHidden/>
              </w:rPr>
              <w:fldChar w:fldCharType="begin"/>
            </w:r>
            <w:r w:rsidR="005A5DC2">
              <w:rPr>
                <w:noProof/>
                <w:webHidden/>
              </w:rPr>
              <w:instrText xml:space="preserve"> PAGEREF _Toc505003503 \h </w:instrText>
            </w:r>
            <w:r w:rsidR="005A5DC2">
              <w:rPr>
                <w:noProof/>
                <w:webHidden/>
              </w:rPr>
            </w:r>
            <w:r w:rsidR="005A5DC2">
              <w:rPr>
                <w:noProof/>
                <w:webHidden/>
              </w:rPr>
              <w:fldChar w:fldCharType="separate"/>
            </w:r>
            <w:r w:rsidR="005A5DC2">
              <w:rPr>
                <w:noProof/>
                <w:webHidden/>
              </w:rPr>
              <w:t>84</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504" w:history="1">
            <w:r w:rsidR="005A5DC2" w:rsidRPr="0006231C">
              <w:rPr>
                <w:rStyle w:val="Hipervnculo"/>
                <w:noProof/>
              </w:rPr>
              <w:t>9.</w:t>
            </w:r>
            <w:r w:rsidR="005A5DC2">
              <w:rPr>
                <w:rFonts w:eastAsiaTheme="minorEastAsia"/>
                <w:b w:val="0"/>
                <w:bCs w:val="0"/>
                <w:i w:val="0"/>
                <w:iCs w:val="0"/>
                <w:noProof/>
                <w:sz w:val="22"/>
                <w:szCs w:val="22"/>
                <w:lang w:val="es-CO" w:eastAsia="es-CO"/>
              </w:rPr>
              <w:tab/>
            </w:r>
            <w:r w:rsidR="005A5DC2" w:rsidRPr="0006231C">
              <w:rPr>
                <w:rStyle w:val="Hipervnculo"/>
                <w:noProof/>
              </w:rPr>
              <w:t>GESTIÓN JURÍDICA</w:t>
            </w:r>
            <w:r w:rsidR="005A5DC2">
              <w:rPr>
                <w:noProof/>
                <w:webHidden/>
              </w:rPr>
              <w:tab/>
            </w:r>
            <w:r w:rsidR="005A5DC2">
              <w:rPr>
                <w:noProof/>
                <w:webHidden/>
              </w:rPr>
              <w:fldChar w:fldCharType="begin"/>
            </w:r>
            <w:r w:rsidR="005A5DC2">
              <w:rPr>
                <w:noProof/>
                <w:webHidden/>
              </w:rPr>
              <w:instrText xml:space="preserve"> PAGEREF _Toc505003504 \h </w:instrText>
            </w:r>
            <w:r w:rsidR="005A5DC2">
              <w:rPr>
                <w:noProof/>
                <w:webHidden/>
              </w:rPr>
            </w:r>
            <w:r w:rsidR="005A5DC2">
              <w:rPr>
                <w:noProof/>
                <w:webHidden/>
              </w:rPr>
              <w:fldChar w:fldCharType="separate"/>
            </w:r>
            <w:r w:rsidR="005A5DC2">
              <w:rPr>
                <w:noProof/>
                <w:webHidden/>
              </w:rPr>
              <w:t>86</w:t>
            </w:r>
            <w:r w:rsidR="005A5DC2">
              <w:rPr>
                <w:noProof/>
                <w:webHidden/>
              </w:rPr>
              <w:fldChar w:fldCharType="end"/>
            </w:r>
          </w:hyperlink>
        </w:p>
        <w:p w:rsidR="005A5DC2" w:rsidRDefault="00576E08">
          <w:pPr>
            <w:pStyle w:val="TDC1"/>
            <w:tabs>
              <w:tab w:val="left" w:pos="993"/>
              <w:tab w:val="right" w:leader="dot" w:pos="8827"/>
            </w:tabs>
            <w:rPr>
              <w:rFonts w:eastAsiaTheme="minorEastAsia"/>
              <w:b w:val="0"/>
              <w:bCs w:val="0"/>
              <w:i w:val="0"/>
              <w:iCs w:val="0"/>
              <w:noProof/>
              <w:sz w:val="22"/>
              <w:szCs w:val="22"/>
              <w:lang w:val="es-CO" w:eastAsia="es-CO"/>
            </w:rPr>
          </w:pPr>
          <w:hyperlink w:anchor="_Toc505003505" w:history="1">
            <w:r w:rsidR="005A5DC2" w:rsidRPr="0006231C">
              <w:rPr>
                <w:rStyle w:val="Hipervnculo"/>
                <w:noProof/>
              </w:rPr>
              <w:t>10.</w:t>
            </w:r>
            <w:r w:rsidR="005A5DC2">
              <w:rPr>
                <w:rFonts w:eastAsiaTheme="minorEastAsia"/>
                <w:b w:val="0"/>
                <w:bCs w:val="0"/>
                <w:i w:val="0"/>
                <w:iCs w:val="0"/>
                <w:noProof/>
                <w:sz w:val="22"/>
                <w:szCs w:val="22"/>
                <w:lang w:val="es-CO" w:eastAsia="es-CO"/>
              </w:rPr>
              <w:tab/>
            </w:r>
            <w:r w:rsidR="005A5DC2" w:rsidRPr="0006231C">
              <w:rPr>
                <w:rStyle w:val="Hipervnculo"/>
                <w:noProof/>
              </w:rPr>
              <w:t>GESTIÓN BUEN GOBIERNO</w:t>
            </w:r>
            <w:r w:rsidR="005A5DC2">
              <w:rPr>
                <w:noProof/>
                <w:webHidden/>
              </w:rPr>
              <w:tab/>
            </w:r>
            <w:r w:rsidR="005A5DC2">
              <w:rPr>
                <w:noProof/>
                <w:webHidden/>
              </w:rPr>
              <w:fldChar w:fldCharType="begin"/>
            </w:r>
            <w:r w:rsidR="005A5DC2">
              <w:rPr>
                <w:noProof/>
                <w:webHidden/>
              </w:rPr>
              <w:instrText xml:space="preserve"> PAGEREF _Toc505003505 \h </w:instrText>
            </w:r>
            <w:r w:rsidR="005A5DC2">
              <w:rPr>
                <w:noProof/>
                <w:webHidden/>
              </w:rPr>
            </w:r>
            <w:r w:rsidR="005A5DC2">
              <w:rPr>
                <w:noProof/>
                <w:webHidden/>
              </w:rPr>
              <w:fldChar w:fldCharType="separate"/>
            </w:r>
            <w:r w:rsidR="005A5DC2">
              <w:rPr>
                <w:noProof/>
                <w:webHidden/>
              </w:rPr>
              <w:t>89</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506" w:history="1">
            <w:r w:rsidR="005A5DC2" w:rsidRPr="0006231C">
              <w:rPr>
                <w:rStyle w:val="Hipervnculo"/>
                <w:noProof/>
              </w:rPr>
              <w:t>10.1</w:t>
            </w:r>
            <w:r w:rsidR="005A5DC2">
              <w:rPr>
                <w:rFonts w:eastAsiaTheme="minorEastAsia"/>
                <w:b w:val="0"/>
                <w:bCs w:val="0"/>
                <w:noProof/>
                <w:lang w:val="es-CO" w:eastAsia="es-CO"/>
              </w:rPr>
              <w:tab/>
            </w:r>
            <w:r w:rsidR="005A5DC2" w:rsidRPr="0006231C">
              <w:rPr>
                <w:rStyle w:val="Hipervnculo"/>
                <w:noProof/>
              </w:rPr>
              <w:t>Sistema de Gestión Integrado</w:t>
            </w:r>
            <w:r w:rsidR="005A5DC2">
              <w:rPr>
                <w:noProof/>
                <w:webHidden/>
              </w:rPr>
              <w:tab/>
            </w:r>
            <w:r w:rsidR="005A5DC2">
              <w:rPr>
                <w:noProof/>
                <w:webHidden/>
              </w:rPr>
              <w:fldChar w:fldCharType="begin"/>
            </w:r>
            <w:r w:rsidR="005A5DC2">
              <w:rPr>
                <w:noProof/>
                <w:webHidden/>
              </w:rPr>
              <w:instrText xml:space="preserve"> PAGEREF _Toc505003506 \h </w:instrText>
            </w:r>
            <w:r w:rsidR="005A5DC2">
              <w:rPr>
                <w:noProof/>
                <w:webHidden/>
              </w:rPr>
            </w:r>
            <w:r w:rsidR="005A5DC2">
              <w:rPr>
                <w:noProof/>
                <w:webHidden/>
              </w:rPr>
              <w:fldChar w:fldCharType="separate"/>
            </w:r>
            <w:r w:rsidR="005A5DC2">
              <w:rPr>
                <w:noProof/>
                <w:webHidden/>
              </w:rPr>
              <w:t>89</w:t>
            </w:r>
            <w:r w:rsidR="005A5DC2">
              <w:rPr>
                <w:noProof/>
                <w:webHidden/>
              </w:rPr>
              <w:fldChar w:fldCharType="end"/>
            </w:r>
          </w:hyperlink>
        </w:p>
        <w:p w:rsidR="005A5DC2" w:rsidRDefault="00576E08">
          <w:pPr>
            <w:pStyle w:val="TDC2"/>
            <w:rPr>
              <w:rFonts w:eastAsiaTheme="minorEastAsia"/>
              <w:b w:val="0"/>
              <w:bCs w:val="0"/>
              <w:noProof/>
              <w:lang w:val="es-CO" w:eastAsia="es-CO"/>
            </w:rPr>
          </w:pPr>
          <w:hyperlink w:anchor="_Toc505003507" w:history="1">
            <w:r w:rsidR="005A5DC2" w:rsidRPr="0006231C">
              <w:rPr>
                <w:rStyle w:val="Hipervnculo"/>
                <w:noProof/>
              </w:rPr>
              <w:t>10.2</w:t>
            </w:r>
            <w:r w:rsidR="005A5DC2">
              <w:rPr>
                <w:rFonts w:eastAsiaTheme="minorEastAsia"/>
                <w:b w:val="0"/>
                <w:bCs w:val="0"/>
                <w:noProof/>
                <w:lang w:val="es-CO" w:eastAsia="es-CO"/>
              </w:rPr>
              <w:tab/>
            </w:r>
            <w:r w:rsidR="005A5DC2" w:rsidRPr="0006231C">
              <w:rPr>
                <w:rStyle w:val="Hipervnculo"/>
                <w:noProof/>
              </w:rPr>
              <w:t>Rendición de Cuentas</w:t>
            </w:r>
            <w:r w:rsidR="005A5DC2">
              <w:rPr>
                <w:noProof/>
                <w:webHidden/>
              </w:rPr>
              <w:tab/>
            </w:r>
            <w:r w:rsidR="005A5DC2">
              <w:rPr>
                <w:noProof/>
                <w:webHidden/>
              </w:rPr>
              <w:fldChar w:fldCharType="begin"/>
            </w:r>
            <w:r w:rsidR="005A5DC2">
              <w:rPr>
                <w:noProof/>
                <w:webHidden/>
              </w:rPr>
              <w:instrText xml:space="preserve"> PAGEREF _Toc505003507 \h </w:instrText>
            </w:r>
            <w:r w:rsidR="005A5DC2">
              <w:rPr>
                <w:noProof/>
                <w:webHidden/>
              </w:rPr>
            </w:r>
            <w:r w:rsidR="005A5DC2">
              <w:rPr>
                <w:noProof/>
                <w:webHidden/>
              </w:rPr>
              <w:fldChar w:fldCharType="separate"/>
            </w:r>
            <w:r w:rsidR="005A5DC2">
              <w:rPr>
                <w:noProof/>
                <w:webHidden/>
              </w:rPr>
              <w:t>90</w:t>
            </w:r>
            <w:r w:rsidR="005A5DC2">
              <w:rPr>
                <w:noProof/>
                <w:webHidden/>
              </w:rPr>
              <w:fldChar w:fldCharType="end"/>
            </w:r>
          </w:hyperlink>
        </w:p>
        <w:p w:rsidR="00CC773F" w:rsidRDefault="00CC773F">
          <w:r>
            <w:rPr>
              <w:b/>
              <w:bCs/>
            </w:rPr>
            <w:fldChar w:fldCharType="end"/>
          </w:r>
        </w:p>
      </w:sdtContent>
    </w:sdt>
    <w:p w:rsidR="00F034E3" w:rsidRPr="003D44B7" w:rsidRDefault="00F034E3"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3D75BA" w:rsidRPr="003D44B7" w:rsidRDefault="003D75BA" w:rsidP="003D75BA">
      <w:pPr>
        <w:autoSpaceDE w:val="0"/>
        <w:autoSpaceDN w:val="0"/>
        <w:adjustRightInd w:val="0"/>
        <w:spacing w:line="240" w:lineRule="auto"/>
        <w:rPr>
          <w:rFonts w:cs="Arial"/>
          <w:sz w:val="22"/>
        </w:rPr>
      </w:pPr>
    </w:p>
    <w:p w:rsidR="00A2765E" w:rsidRDefault="00A2765E">
      <w:pPr>
        <w:spacing w:after="200" w:line="276" w:lineRule="auto"/>
        <w:jc w:val="left"/>
        <w:rPr>
          <w:rFonts w:cs="Arial"/>
          <w:sz w:val="32"/>
        </w:rPr>
      </w:pPr>
      <w:r>
        <w:rPr>
          <w:rFonts w:cs="Arial"/>
          <w:sz w:val="32"/>
        </w:rPr>
        <w:br w:type="page"/>
      </w:r>
    </w:p>
    <w:p w:rsidR="00922361" w:rsidRPr="007E3988" w:rsidRDefault="00922361" w:rsidP="003A0158">
      <w:pPr>
        <w:jc w:val="center"/>
        <w:rPr>
          <w:rFonts w:cs="Arial"/>
          <w:b/>
          <w:sz w:val="28"/>
        </w:rPr>
      </w:pPr>
      <w:r w:rsidRPr="007E3988">
        <w:rPr>
          <w:rFonts w:cs="Arial"/>
          <w:b/>
          <w:sz w:val="28"/>
        </w:rPr>
        <w:lastRenderedPageBreak/>
        <w:t>INTRODUCCIÓN</w:t>
      </w:r>
    </w:p>
    <w:p w:rsidR="0082306A" w:rsidRPr="007E3988" w:rsidRDefault="0082306A" w:rsidP="003A0158">
      <w:pPr>
        <w:jc w:val="center"/>
        <w:rPr>
          <w:rFonts w:cs="Arial"/>
          <w:b/>
          <w:sz w:val="28"/>
        </w:rPr>
      </w:pPr>
    </w:p>
    <w:p w:rsidR="0040017D" w:rsidRDefault="0040017D" w:rsidP="0040017D">
      <w:pPr>
        <w:autoSpaceDE w:val="0"/>
        <w:adjustRightInd w:val="0"/>
        <w:rPr>
          <w:rFonts w:cs="Arial"/>
          <w:sz w:val="22"/>
        </w:rPr>
      </w:pPr>
      <w:r>
        <w:rPr>
          <w:rFonts w:cs="Arial"/>
          <w:sz w:val="22"/>
        </w:rPr>
        <w:t>Durante el año 2017, el Ministerio de Transporte llevo a cabo unos importantes adelantos para acercar el estado a los ciudadanos, lograr las metas  y dar cumplimiento a los objetivos para garantizar el desarrollo y  mejoramiento del transporte, tránsito y su infraestructura de manera integral, competitiva y segura.</w:t>
      </w:r>
    </w:p>
    <w:p w:rsidR="0040017D" w:rsidRDefault="0040017D" w:rsidP="0040017D">
      <w:pPr>
        <w:autoSpaceDE w:val="0"/>
        <w:adjustRightInd w:val="0"/>
        <w:rPr>
          <w:rFonts w:cs="Arial"/>
          <w:sz w:val="22"/>
        </w:rPr>
      </w:pPr>
    </w:p>
    <w:p w:rsidR="0040017D" w:rsidRDefault="0040017D" w:rsidP="0040017D">
      <w:pPr>
        <w:autoSpaceDE w:val="0"/>
        <w:adjustRightInd w:val="0"/>
        <w:rPr>
          <w:rFonts w:cs="Arial"/>
          <w:sz w:val="22"/>
        </w:rPr>
      </w:pPr>
      <w:r>
        <w:rPr>
          <w:rFonts w:cs="Arial"/>
          <w:sz w:val="22"/>
        </w:rPr>
        <w:t xml:space="preserve">El presente documento resalta  la labor de todos y cada una de las personas  que conforman este equipo de trabajo para llevar a cabo las metas establecidas por el Gobierno Nacional e incrementar la competitividad del país con tecnología y talento humano comprometido. </w:t>
      </w:r>
    </w:p>
    <w:p w:rsidR="0040017D" w:rsidRDefault="0040017D" w:rsidP="0040017D">
      <w:pPr>
        <w:tabs>
          <w:tab w:val="num" w:pos="720"/>
          <w:tab w:val="left" w:pos="2977"/>
        </w:tabs>
        <w:autoSpaceDE w:val="0"/>
        <w:autoSpaceDN w:val="0"/>
        <w:adjustRightInd w:val="0"/>
        <w:rPr>
          <w:rFonts w:cs="Arial"/>
          <w:sz w:val="22"/>
        </w:rPr>
      </w:pPr>
    </w:p>
    <w:p w:rsidR="00A67BEE" w:rsidRPr="001446DE" w:rsidRDefault="0040017D" w:rsidP="0040017D">
      <w:pPr>
        <w:tabs>
          <w:tab w:val="num" w:pos="720"/>
          <w:tab w:val="left" w:pos="2977"/>
        </w:tabs>
        <w:autoSpaceDE w:val="0"/>
        <w:autoSpaceDN w:val="0"/>
        <w:adjustRightInd w:val="0"/>
        <w:rPr>
          <w:rFonts w:cs="Arial"/>
          <w:sz w:val="22"/>
        </w:rPr>
      </w:pPr>
      <w:r>
        <w:rPr>
          <w:rFonts w:cs="Arial"/>
          <w:sz w:val="22"/>
        </w:rPr>
        <w:t>Este informe de gestión consta de 10 capítulos en donde se desarrolla la labor de los funcionarios en cuanto a Gestión presupuestal, Desarrollo institucional en el sector transporte, Infraestructura competitiva e integradora, políticas en materia de transporte, medio ambiente y desarrollo sostenible, regulación económica, apoyo a la gestión misional, gestión control interno, gestión jurídica y Gestión buen Gobierno</w:t>
      </w:r>
      <w:r w:rsidR="00E7052A" w:rsidRPr="001446DE">
        <w:rPr>
          <w:rFonts w:cs="Arial"/>
          <w:sz w:val="22"/>
        </w:rPr>
        <w:t>.</w:t>
      </w:r>
    </w:p>
    <w:p w:rsidR="00D07928" w:rsidRPr="001446DE" w:rsidRDefault="00D07928" w:rsidP="000E519D">
      <w:pPr>
        <w:autoSpaceDE w:val="0"/>
        <w:adjustRightInd w:val="0"/>
        <w:rPr>
          <w:rFonts w:cs="Arial"/>
          <w:sz w:val="22"/>
        </w:rPr>
      </w:pPr>
    </w:p>
    <w:p w:rsidR="002C2CD2" w:rsidRDefault="00C34AD8" w:rsidP="000E519D">
      <w:pPr>
        <w:autoSpaceDE w:val="0"/>
        <w:adjustRightInd w:val="0"/>
        <w:rPr>
          <w:rFonts w:cs="Arial"/>
          <w:sz w:val="22"/>
        </w:rPr>
      </w:pPr>
      <w:r w:rsidRPr="007E3988">
        <w:rPr>
          <w:rFonts w:cs="Arial"/>
          <w:sz w:val="22"/>
        </w:rPr>
        <w:t>.</w:t>
      </w:r>
      <w:r w:rsidR="00637810" w:rsidRPr="007E3988">
        <w:rPr>
          <w:rFonts w:cs="Arial"/>
          <w:sz w:val="22"/>
        </w:rPr>
        <w:t xml:space="preserve"> </w:t>
      </w:r>
    </w:p>
    <w:p w:rsidR="007E3988" w:rsidRPr="007E3988" w:rsidRDefault="007E3988" w:rsidP="000E519D">
      <w:pPr>
        <w:autoSpaceDE w:val="0"/>
        <w:adjustRightInd w:val="0"/>
        <w:rPr>
          <w:rFonts w:cs="Arial"/>
          <w:sz w:val="22"/>
        </w:rPr>
      </w:pPr>
    </w:p>
    <w:p w:rsidR="00F134AD" w:rsidRDefault="00F134AD">
      <w:pPr>
        <w:spacing w:after="200" w:line="276" w:lineRule="auto"/>
        <w:jc w:val="left"/>
        <w:rPr>
          <w:rFonts w:cs="Arial"/>
          <w:sz w:val="22"/>
        </w:rPr>
      </w:pPr>
      <w:r>
        <w:rPr>
          <w:rFonts w:cs="Arial"/>
          <w:sz w:val="22"/>
        </w:rPr>
        <w:br w:type="page"/>
      </w:r>
    </w:p>
    <w:p w:rsidR="00857BC9" w:rsidRPr="003D44B7" w:rsidRDefault="004B783F" w:rsidP="003D44B7">
      <w:pPr>
        <w:pStyle w:val="Ttulo1"/>
        <w:numPr>
          <w:ilvl w:val="0"/>
          <w:numId w:val="88"/>
        </w:numPr>
      </w:pPr>
      <w:bookmarkStart w:id="1" w:name="_Toc473412361"/>
      <w:bookmarkStart w:id="2" w:name="_Toc473412511"/>
      <w:bookmarkStart w:id="3" w:name="_Toc505003475"/>
      <w:r w:rsidRPr="003D44B7">
        <w:lastRenderedPageBreak/>
        <w:t>GESTIÓN PRESUPUESTAL</w:t>
      </w:r>
      <w:bookmarkEnd w:id="1"/>
      <w:bookmarkEnd w:id="2"/>
      <w:bookmarkEnd w:id="3"/>
    </w:p>
    <w:p w:rsidR="00B63A4F" w:rsidRPr="00482C5F" w:rsidRDefault="00B63A4F" w:rsidP="00590C93">
      <w:pPr>
        <w:tabs>
          <w:tab w:val="left" w:pos="0"/>
        </w:tabs>
        <w:outlineLvl w:val="1"/>
        <w:rPr>
          <w:rFonts w:cs="Arial"/>
          <w:sz w:val="22"/>
        </w:rPr>
      </w:pPr>
    </w:p>
    <w:p w:rsidR="00B63A4F" w:rsidRDefault="00B63A4F" w:rsidP="003D44B7">
      <w:pPr>
        <w:pStyle w:val="Ttulo2"/>
        <w:numPr>
          <w:ilvl w:val="1"/>
          <w:numId w:val="88"/>
        </w:numPr>
      </w:pPr>
      <w:bookmarkStart w:id="4" w:name="_Toc473412362"/>
      <w:bookmarkStart w:id="5" w:name="_Toc473412512"/>
      <w:bookmarkStart w:id="6" w:name="_Toc505003476"/>
      <w:r w:rsidRPr="00482C5F">
        <w:t>Gestión Presupuestal Sector Transporte</w:t>
      </w:r>
      <w:bookmarkEnd w:id="4"/>
      <w:bookmarkEnd w:id="5"/>
      <w:bookmarkEnd w:id="6"/>
    </w:p>
    <w:p w:rsidR="00B63A4F" w:rsidRPr="00A828EC" w:rsidRDefault="00B63A4F" w:rsidP="005B20C8">
      <w:pPr>
        <w:contextualSpacing/>
        <w:rPr>
          <w:rFonts w:cs="Arial"/>
          <w:sz w:val="14"/>
          <w:highlight w:val="yellow"/>
        </w:rPr>
      </w:pPr>
    </w:p>
    <w:p w:rsidR="00B63A4F" w:rsidRDefault="005B20C8" w:rsidP="005B20C8">
      <w:pPr>
        <w:contextualSpacing/>
        <w:rPr>
          <w:rFonts w:cs="Arial"/>
          <w:sz w:val="22"/>
        </w:rPr>
      </w:pPr>
      <w:r w:rsidRPr="007E3988">
        <w:rPr>
          <w:rFonts w:cs="Arial"/>
          <w:sz w:val="22"/>
        </w:rPr>
        <w:t>Para la vigencia 201</w:t>
      </w:r>
      <w:r>
        <w:rPr>
          <w:rFonts w:cs="Arial"/>
          <w:sz w:val="22"/>
        </w:rPr>
        <w:t>7</w:t>
      </w:r>
      <w:r w:rsidRPr="007E3988">
        <w:rPr>
          <w:rFonts w:cs="Arial"/>
          <w:sz w:val="22"/>
        </w:rPr>
        <w:t xml:space="preserve"> el presupuesto de inversión del Sector Transporte fue de $5.</w:t>
      </w:r>
      <w:r>
        <w:rPr>
          <w:rFonts w:cs="Arial"/>
          <w:sz w:val="22"/>
        </w:rPr>
        <w:t>6</w:t>
      </w:r>
      <w:r w:rsidRPr="007E3988">
        <w:rPr>
          <w:rFonts w:cs="Arial"/>
          <w:sz w:val="22"/>
        </w:rPr>
        <w:t xml:space="preserve"> billones, </w:t>
      </w:r>
      <w:r>
        <w:rPr>
          <w:rFonts w:cs="Arial"/>
          <w:sz w:val="22"/>
        </w:rPr>
        <w:t>presentado un incremento de $402,5</w:t>
      </w:r>
      <w:r w:rsidRPr="007E3988">
        <w:rPr>
          <w:rFonts w:cs="Arial"/>
          <w:sz w:val="22"/>
        </w:rPr>
        <w:t xml:space="preserve"> </w:t>
      </w:r>
      <w:r>
        <w:rPr>
          <w:rFonts w:cs="Arial"/>
          <w:sz w:val="22"/>
        </w:rPr>
        <w:t>millones con respecto al año 2016</w:t>
      </w:r>
      <w:r w:rsidRPr="007E3988">
        <w:rPr>
          <w:rFonts w:cs="Arial"/>
          <w:sz w:val="22"/>
        </w:rPr>
        <w:t>.  Cabe anotar que el presupuesto de inversión para el Sector ha tenido un incremento considerable los últimos seis años (Gráfico 1)</w:t>
      </w:r>
      <w:r>
        <w:rPr>
          <w:rFonts w:cs="Arial"/>
          <w:sz w:val="22"/>
        </w:rPr>
        <w:t>.</w:t>
      </w:r>
    </w:p>
    <w:p w:rsidR="00664C45" w:rsidRPr="00A828EC" w:rsidRDefault="00664C45" w:rsidP="00B63A4F">
      <w:pPr>
        <w:spacing w:line="240" w:lineRule="auto"/>
        <w:rPr>
          <w:rFonts w:cs="Arial"/>
          <w:sz w:val="18"/>
        </w:rPr>
      </w:pPr>
    </w:p>
    <w:p w:rsidR="005B20C8" w:rsidRPr="007E3988" w:rsidRDefault="005B20C8" w:rsidP="005B20C8">
      <w:pPr>
        <w:pStyle w:val="Descripcin"/>
        <w:spacing w:line="360" w:lineRule="auto"/>
        <w:jc w:val="center"/>
        <w:rPr>
          <w:rFonts w:cs="Arial"/>
          <w:color w:val="000000"/>
          <w:szCs w:val="24"/>
        </w:rPr>
      </w:pPr>
      <w:r w:rsidRPr="007E3988">
        <w:rPr>
          <w:rFonts w:cs="Arial"/>
          <w:b w:val="0"/>
          <w:bCs w:val="0"/>
          <w:color w:val="auto"/>
          <w:sz w:val="22"/>
          <w:szCs w:val="22"/>
        </w:rPr>
        <w:t>Gráfico 1 – Presupuesto de Inversión Sector Transporte – PGN</w:t>
      </w:r>
      <w:r>
        <w:rPr>
          <w:noProof/>
          <w:lang w:val="es-CO" w:eastAsia="es-CO"/>
        </w:rPr>
        <w:drawing>
          <wp:inline distT="0" distB="0" distL="0" distR="0" wp14:anchorId="57310C38" wp14:editId="0FAEB430">
            <wp:extent cx="5076825" cy="203835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20C8" w:rsidRPr="007E3988" w:rsidRDefault="005B20C8" w:rsidP="005B20C8">
      <w:pPr>
        <w:pStyle w:val="Prrafodelista"/>
        <w:spacing w:line="240" w:lineRule="auto"/>
        <w:ind w:left="0" w:firstLine="1134"/>
        <w:mirrorIndents/>
        <w:jc w:val="left"/>
        <w:rPr>
          <w:rFonts w:cs="Arial"/>
          <w:sz w:val="16"/>
          <w:szCs w:val="16"/>
          <w:lang w:val="es-ES_tradnl"/>
        </w:rPr>
      </w:pPr>
      <w:r w:rsidRPr="007E3988">
        <w:rPr>
          <w:rFonts w:cs="Arial"/>
          <w:sz w:val="16"/>
          <w:szCs w:val="16"/>
          <w:lang w:val="es-ES_tradnl"/>
        </w:rPr>
        <w:t>Fuente: MHCP</w:t>
      </w:r>
    </w:p>
    <w:p w:rsidR="005B20C8" w:rsidRPr="007E3988" w:rsidRDefault="005B20C8" w:rsidP="005B20C8">
      <w:pPr>
        <w:pStyle w:val="Prrafodelista"/>
        <w:spacing w:line="240" w:lineRule="auto"/>
        <w:ind w:left="0" w:firstLine="1134"/>
        <w:mirrorIndents/>
        <w:jc w:val="left"/>
        <w:rPr>
          <w:rFonts w:cs="Arial"/>
          <w:sz w:val="16"/>
          <w:szCs w:val="16"/>
          <w:lang w:val="es-ES_tradnl"/>
        </w:rPr>
      </w:pPr>
      <w:r w:rsidRPr="007E3988">
        <w:rPr>
          <w:rFonts w:cs="Arial"/>
          <w:sz w:val="16"/>
          <w:szCs w:val="16"/>
          <w:lang w:val="es-ES_tradnl"/>
        </w:rPr>
        <w:t>Elaboración: Oficina Asesora de Planeación- Ministerio de Transporte</w:t>
      </w:r>
    </w:p>
    <w:p w:rsidR="00664C45" w:rsidRPr="00664C45" w:rsidRDefault="00664C45" w:rsidP="00664C45">
      <w:pPr>
        <w:rPr>
          <w:rFonts w:cs="Arial"/>
          <w:szCs w:val="24"/>
          <w:lang w:val="es-ES_tradnl"/>
        </w:rPr>
      </w:pPr>
    </w:p>
    <w:p w:rsidR="00B63A4F" w:rsidRDefault="005B20C8" w:rsidP="00B63A4F">
      <w:pPr>
        <w:tabs>
          <w:tab w:val="left" w:pos="2977"/>
        </w:tabs>
        <w:autoSpaceDE w:val="0"/>
        <w:autoSpaceDN w:val="0"/>
        <w:adjustRightInd w:val="0"/>
        <w:rPr>
          <w:rFonts w:cs="Arial"/>
          <w:sz w:val="22"/>
        </w:rPr>
      </w:pPr>
      <w:r w:rsidRPr="007E3988">
        <w:rPr>
          <w:rFonts w:cs="Arial"/>
          <w:sz w:val="22"/>
        </w:rPr>
        <w:t xml:space="preserve">En el mismo período de tiempo el Sector ha mejorado los niveles de ejecución de su presupuesto de inversión, en el 2010 la ejecución fue </w:t>
      </w:r>
      <w:r>
        <w:rPr>
          <w:rFonts w:cs="Arial"/>
          <w:sz w:val="22"/>
        </w:rPr>
        <w:t>del 74%, mientras que en el 2016</w:t>
      </w:r>
      <w:r w:rsidRPr="007E3988">
        <w:rPr>
          <w:rFonts w:cs="Arial"/>
          <w:sz w:val="22"/>
        </w:rPr>
        <w:t xml:space="preserve"> alcanzó una ejecución d</w:t>
      </w:r>
      <w:r>
        <w:rPr>
          <w:rFonts w:cs="Arial"/>
          <w:sz w:val="22"/>
        </w:rPr>
        <w:t xml:space="preserve">el 88% y en 2017 fue de 78% </w:t>
      </w:r>
      <w:r w:rsidRPr="007E3988">
        <w:rPr>
          <w:rFonts w:cs="Arial"/>
          <w:sz w:val="22"/>
        </w:rPr>
        <w:t>(Gráfico 2)</w:t>
      </w:r>
      <w:r w:rsidR="0021512D">
        <w:rPr>
          <w:rFonts w:cs="Arial"/>
          <w:sz w:val="22"/>
        </w:rPr>
        <w:t>.</w:t>
      </w:r>
    </w:p>
    <w:p w:rsidR="0021512D" w:rsidRPr="00A828EC" w:rsidRDefault="0021512D" w:rsidP="00B63A4F">
      <w:pPr>
        <w:tabs>
          <w:tab w:val="left" w:pos="2977"/>
        </w:tabs>
        <w:autoSpaceDE w:val="0"/>
        <w:autoSpaceDN w:val="0"/>
        <w:adjustRightInd w:val="0"/>
        <w:rPr>
          <w:rFonts w:cs="Arial"/>
          <w:sz w:val="14"/>
        </w:rPr>
      </w:pPr>
    </w:p>
    <w:p w:rsidR="0021512D" w:rsidRPr="007E3988" w:rsidRDefault="0021512D" w:rsidP="0021512D">
      <w:pPr>
        <w:jc w:val="center"/>
        <w:rPr>
          <w:rFonts w:cs="Arial"/>
          <w:sz w:val="22"/>
        </w:rPr>
      </w:pPr>
      <w:r w:rsidRPr="007E3988">
        <w:rPr>
          <w:rFonts w:cs="Arial"/>
          <w:sz w:val="22"/>
        </w:rPr>
        <w:t>Gráfico 2</w:t>
      </w:r>
      <w:r>
        <w:rPr>
          <w:rFonts w:cs="Arial"/>
          <w:sz w:val="22"/>
        </w:rPr>
        <w:t xml:space="preserve"> – Ejecución Inversión PGN - </w:t>
      </w:r>
      <w:r w:rsidRPr="007E3988">
        <w:rPr>
          <w:rFonts w:cs="Arial"/>
          <w:sz w:val="22"/>
        </w:rPr>
        <w:t>Sector Transporte</w:t>
      </w:r>
    </w:p>
    <w:p w:rsidR="0021512D" w:rsidRPr="007E3988" w:rsidRDefault="0021512D" w:rsidP="0021512D">
      <w:pPr>
        <w:rPr>
          <w:rFonts w:cs="Arial"/>
          <w:lang w:val="es-MX"/>
        </w:rPr>
      </w:pPr>
      <w:r>
        <w:rPr>
          <w:noProof/>
          <w:lang w:val="es-CO" w:eastAsia="es-CO"/>
        </w:rPr>
        <w:drawing>
          <wp:inline distT="0" distB="0" distL="0" distR="0" wp14:anchorId="3DE2B5D4" wp14:editId="3D6666E6">
            <wp:extent cx="4886325" cy="13525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512D" w:rsidRDefault="0021512D" w:rsidP="0021512D">
      <w:pPr>
        <w:pStyle w:val="Prrafodelista"/>
        <w:spacing w:line="240" w:lineRule="auto"/>
        <w:ind w:left="0" w:firstLine="1134"/>
        <w:mirrorIndents/>
        <w:jc w:val="left"/>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Pr="007E3988" w:rsidRDefault="0021512D" w:rsidP="0021512D">
      <w:pPr>
        <w:pStyle w:val="Prrafodelista"/>
        <w:spacing w:line="240" w:lineRule="auto"/>
        <w:ind w:left="0" w:firstLine="1134"/>
        <w:mirrorIndents/>
        <w:jc w:val="left"/>
        <w:rPr>
          <w:rFonts w:cs="Arial"/>
          <w:sz w:val="16"/>
          <w:szCs w:val="16"/>
          <w:lang w:val="es-ES_tradnl"/>
        </w:rPr>
      </w:pPr>
    </w:p>
    <w:p w:rsidR="0021512D" w:rsidRDefault="0021512D" w:rsidP="0021512D">
      <w:pPr>
        <w:rPr>
          <w:rFonts w:cs="Arial"/>
          <w:sz w:val="22"/>
        </w:rPr>
      </w:pPr>
    </w:p>
    <w:p w:rsidR="0021512D" w:rsidRPr="007E3988" w:rsidRDefault="0021512D" w:rsidP="0021512D">
      <w:pPr>
        <w:rPr>
          <w:rFonts w:cs="Arial"/>
          <w:sz w:val="22"/>
        </w:rPr>
      </w:pPr>
      <w:r w:rsidRPr="007E3988">
        <w:rPr>
          <w:rFonts w:cs="Arial"/>
          <w:sz w:val="22"/>
        </w:rPr>
        <w:t>De acuerdo con el reporte del Sistema Integrado de Información Financiera -SIIF (corte a cierre de la vigencia 2</w:t>
      </w:r>
      <w:r>
        <w:rPr>
          <w:rFonts w:cs="Arial"/>
          <w:sz w:val="22"/>
        </w:rPr>
        <w:t>017</w:t>
      </w:r>
      <w:r w:rsidRPr="007E3988">
        <w:rPr>
          <w:rFonts w:cs="Arial"/>
          <w:sz w:val="22"/>
        </w:rPr>
        <w:t>), la ejecución total del Se</w:t>
      </w:r>
      <w:r>
        <w:rPr>
          <w:rFonts w:cs="Arial"/>
          <w:sz w:val="22"/>
        </w:rPr>
        <w:t>ctor Transporte alcanzó un 98% en compromisos y un 78</w:t>
      </w:r>
      <w:r w:rsidRPr="007E3988">
        <w:rPr>
          <w:rFonts w:cs="Arial"/>
          <w:sz w:val="22"/>
        </w:rPr>
        <w:t>% en obligaciones (Tabla 1).</w:t>
      </w:r>
    </w:p>
    <w:p w:rsidR="0021512D" w:rsidRPr="005E32B3" w:rsidRDefault="0021512D" w:rsidP="0021512D">
      <w:pPr>
        <w:rPr>
          <w:rFonts w:cs="Arial"/>
          <w:sz w:val="18"/>
        </w:rPr>
      </w:pPr>
    </w:p>
    <w:p w:rsidR="0021512D" w:rsidRPr="007E3988" w:rsidRDefault="0021512D" w:rsidP="0021512D">
      <w:pPr>
        <w:jc w:val="center"/>
        <w:rPr>
          <w:rFonts w:cs="Arial"/>
          <w:b/>
          <w:lang w:val="es-CO"/>
        </w:rPr>
      </w:pPr>
      <w:r w:rsidRPr="007E3988">
        <w:rPr>
          <w:rFonts w:cs="Arial"/>
          <w:sz w:val="22"/>
        </w:rPr>
        <w:t>Tabla 1 -Ejecución Total Funcionamiento + Inversión - Sector Transporte</w:t>
      </w:r>
    </w:p>
    <w:tbl>
      <w:tblPr>
        <w:tblW w:w="8823" w:type="dxa"/>
        <w:tblLayout w:type="fixed"/>
        <w:tblCellMar>
          <w:left w:w="70" w:type="dxa"/>
          <w:right w:w="70" w:type="dxa"/>
        </w:tblCellMar>
        <w:tblLook w:val="04A0" w:firstRow="1" w:lastRow="0" w:firstColumn="1" w:lastColumn="0" w:noHBand="0" w:noVBand="1"/>
      </w:tblPr>
      <w:tblGrid>
        <w:gridCol w:w="4385"/>
        <w:gridCol w:w="1701"/>
        <w:gridCol w:w="1417"/>
        <w:gridCol w:w="1320"/>
      </w:tblGrid>
      <w:tr w:rsidR="0021512D" w:rsidRPr="00A828EC" w:rsidTr="00F91368">
        <w:trPr>
          <w:trHeight w:val="537"/>
        </w:trPr>
        <w:tc>
          <w:tcPr>
            <w:tcW w:w="4385"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21512D" w:rsidRPr="00A828EC" w:rsidRDefault="0021512D" w:rsidP="00F91368">
            <w:pPr>
              <w:spacing w:line="240" w:lineRule="auto"/>
              <w:jc w:val="center"/>
              <w:rPr>
                <w:rFonts w:eastAsia="Times New Roman" w:cs="Arial"/>
                <w:b/>
                <w:bCs/>
                <w:color w:val="000000"/>
                <w:sz w:val="14"/>
                <w:lang w:val="es-CO" w:eastAsia="es-CO"/>
              </w:rPr>
            </w:pPr>
            <w:r w:rsidRPr="00A828EC">
              <w:rPr>
                <w:rFonts w:eastAsia="Times New Roman" w:cs="Arial"/>
                <w:b/>
                <w:bCs/>
                <w:color w:val="000000"/>
                <w:sz w:val="14"/>
                <w:lang w:val="es-CO" w:eastAsia="es-CO"/>
              </w:rPr>
              <w:t>ENTIDAD</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21512D" w:rsidRPr="00A828EC" w:rsidRDefault="0021512D" w:rsidP="00F91368">
            <w:pPr>
              <w:spacing w:line="240" w:lineRule="auto"/>
              <w:jc w:val="center"/>
              <w:rPr>
                <w:rFonts w:eastAsia="Times New Roman" w:cs="Arial"/>
                <w:b/>
                <w:bCs/>
                <w:color w:val="000000"/>
                <w:sz w:val="14"/>
                <w:szCs w:val="24"/>
                <w:lang w:val="es-CO" w:eastAsia="es-CO"/>
              </w:rPr>
            </w:pPr>
            <w:r w:rsidRPr="00A828EC">
              <w:rPr>
                <w:rFonts w:eastAsia="Times New Roman" w:cs="Arial"/>
                <w:b/>
                <w:bCs/>
                <w:color w:val="000000"/>
                <w:sz w:val="14"/>
                <w:szCs w:val="24"/>
                <w:lang w:val="es-CO" w:eastAsia="es-CO"/>
              </w:rPr>
              <w:t>APROPIACION</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rsidR="0021512D" w:rsidRPr="00A828EC" w:rsidRDefault="0021512D" w:rsidP="00F91368">
            <w:pPr>
              <w:spacing w:line="240" w:lineRule="auto"/>
              <w:jc w:val="center"/>
              <w:rPr>
                <w:rFonts w:eastAsia="Times New Roman" w:cs="Arial"/>
                <w:b/>
                <w:bCs/>
                <w:color w:val="000000"/>
                <w:sz w:val="14"/>
                <w:szCs w:val="24"/>
                <w:lang w:val="es-CO" w:eastAsia="es-CO"/>
              </w:rPr>
            </w:pPr>
            <w:r w:rsidRPr="00A828EC">
              <w:rPr>
                <w:rFonts w:eastAsia="Times New Roman" w:cs="Arial"/>
                <w:b/>
                <w:bCs/>
                <w:color w:val="000000"/>
                <w:sz w:val="14"/>
                <w:szCs w:val="24"/>
                <w:lang w:val="es-CO" w:eastAsia="es-CO"/>
              </w:rPr>
              <w:t>COMPROMISO %</w:t>
            </w:r>
          </w:p>
        </w:tc>
        <w:tc>
          <w:tcPr>
            <w:tcW w:w="1320" w:type="dxa"/>
            <w:tcBorders>
              <w:top w:val="single" w:sz="4" w:space="0" w:color="auto"/>
              <w:left w:val="nil"/>
              <w:bottom w:val="single" w:sz="4" w:space="0" w:color="auto"/>
              <w:right w:val="single" w:sz="4" w:space="0" w:color="auto"/>
            </w:tcBorders>
            <w:shd w:val="clear" w:color="000000" w:fill="BFBFBF"/>
            <w:noWrap/>
            <w:vAlign w:val="center"/>
            <w:hideMark/>
          </w:tcPr>
          <w:p w:rsidR="0021512D" w:rsidRPr="00A828EC" w:rsidRDefault="0021512D" w:rsidP="00F91368">
            <w:pPr>
              <w:spacing w:line="240" w:lineRule="auto"/>
              <w:jc w:val="center"/>
              <w:rPr>
                <w:rFonts w:eastAsia="Times New Roman" w:cs="Arial"/>
                <w:b/>
                <w:bCs/>
                <w:color w:val="000000"/>
                <w:sz w:val="14"/>
                <w:szCs w:val="24"/>
                <w:lang w:val="es-CO" w:eastAsia="es-CO"/>
              </w:rPr>
            </w:pPr>
            <w:r w:rsidRPr="00A828EC">
              <w:rPr>
                <w:rFonts w:eastAsia="Times New Roman" w:cs="Arial"/>
                <w:b/>
                <w:bCs/>
                <w:color w:val="000000"/>
                <w:sz w:val="14"/>
                <w:szCs w:val="24"/>
                <w:lang w:val="es-CO" w:eastAsia="es-CO"/>
              </w:rPr>
              <w:t>OBLIGACION %</w:t>
            </w:r>
          </w:p>
        </w:tc>
      </w:tr>
      <w:tr w:rsidR="0021512D" w:rsidRPr="00A828EC" w:rsidTr="00A828EC">
        <w:trPr>
          <w:trHeight w:val="278"/>
        </w:trPr>
        <w:tc>
          <w:tcPr>
            <w:tcW w:w="43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21512D" w:rsidRPr="00A828EC" w:rsidRDefault="0021512D" w:rsidP="00F91368">
            <w:pPr>
              <w:spacing w:line="240" w:lineRule="auto"/>
              <w:jc w:val="left"/>
              <w:rPr>
                <w:rFonts w:eastAsia="Times New Roman" w:cs="Arial"/>
                <w:bCs/>
                <w:color w:val="000000"/>
                <w:sz w:val="14"/>
                <w:lang w:val="es-CO" w:eastAsia="es-CO"/>
              </w:rPr>
            </w:pPr>
            <w:r w:rsidRPr="00A828EC">
              <w:rPr>
                <w:rFonts w:eastAsia="Times New Roman" w:cs="Arial"/>
                <w:bCs/>
                <w:color w:val="000000"/>
                <w:sz w:val="14"/>
                <w:lang w:val="es-CO" w:eastAsia="es-CO"/>
              </w:rPr>
              <w:t>MINISTERIO DE TRANSPORTE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303.423.341.407</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97,1%</w:t>
            </w:r>
          </w:p>
        </w:tc>
        <w:tc>
          <w:tcPr>
            <w:tcW w:w="13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93,8%</w:t>
            </w:r>
          </w:p>
        </w:tc>
      </w:tr>
      <w:tr w:rsidR="0021512D" w:rsidRPr="00A828EC" w:rsidTr="00F91368">
        <w:trPr>
          <w:trHeight w:val="414"/>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UNIDAD ADMINISTRATIVA ESPECIAL DE LA AERONAUTICA CIVIL</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1.247.886.922.567</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94,0%</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68,5%</w:t>
            </w:r>
          </w:p>
        </w:tc>
      </w:tr>
      <w:tr w:rsidR="0021512D" w:rsidRPr="00A828EC" w:rsidTr="00A828EC">
        <w:trPr>
          <w:trHeight w:val="260"/>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INSTITUTO NACIONAL DE VIAS</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3.206.480.727.147</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99,7%</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77,2%</w:t>
            </w:r>
          </w:p>
        </w:tc>
      </w:tr>
      <w:tr w:rsidR="0021512D" w:rsidRPr="00A828EC" w:rsidTr="00A828EC">
        <w:trPr>
          <w:trHeight w:val="278"/>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AGENCIA NACIONAL DE INFRAESTRUCTURA</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2.465.782.424.492</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98,5%</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81,8%</w:t>
            </w:r>
          </w:p>
        </w:tc>
      </w:tr>
      <w:tr w:rsidR="0021512D" w:rsidRPr="00A828EC" w:rsidTr="00F91368">
        <w:trPr>
          <w:trHeight w:val="276"/>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AGENCIA NACIONAL DE SEGURIDAD VIAL</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116.647.608.319</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93,7%</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93,6%</w:t>
            </w:r>
          </w:p>
        </w:tc>
      </w:tr>
      <w:tr w:rsidR="0021512D" w:rsidRPr="00A828EC" w:rsidTr="00A828EC">
        <w:trPr>
          <w:trHeight w:val="272"/>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SUPERINTENDENCIA DE PUERTOS Y TRANSPORTE</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52.924.112.150</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92,5%</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90,2%</w:t>
            </w:r>
          </w:p>
        </w:tc>
      </w:tr>
      <w:tr w:rsidR="0021512D" w:rsidRPr="00A828EC" w:rsidTr="00A828EC">
        <w:trPr>
          <w:trHeight w:val="417"/>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CORPORACION AUTONOMA REGIONAL DEL RIO GRANDE DE LA MAGDALENA - CORMAGDALENA</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25.428.963.113</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61,9%</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61,6%</w:t>
            </w:r>
          </w:p>
        </w:tc>
      </w:tr>
      <w:tr w:rsidR="0021512D" w:rsidRPr="00A828EC" w:rsidTr="00A828EC">
        <w:trPr>
          <w:trHeight w:val="409"/>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UNIDAD DE PLANEACION DEL SECTOR DE INFRAESTRUCTURA DE TRANSPORTE</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2.500.000.000</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0,00%</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0,00%</w:t>
            </w:r>
          </w:p>
        </w:tc>
      </w:tr>
      <w:tr w:rsidR="0021512D" w:rsidRPr="00A828EC" w:rsidTr="00F91368">
        <w:trPr>
          <w:trHeight w:val="416"/>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lang w:val="es-CO" w:eastAsia="es-CO"/>
              </w:rPr>
            </w:pPr>
            <w:r w:rsidRPr="00A828EC">
              <w:rPr>
                <w:rFonts w:eastAsia="Times New Roman" w:cs="Arial"/>
                <w:color w:val="000000"/>
                <w:sz w:val="14"/>
                <w:lang w:val="es-CO" w:eastAsia="es-CO"/>
              </w:rPr>
              <w:t>COMISION DE REGULACION DE INFRAESTRUCTURA Y TRANSPORTE</w:t>
            </w:r>
          </w:p>
        </w:tc>
        <w:tc>
          <w:tcPr>
            <w:tcW w:w="1701"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color w:val="000000"/>
                <w:sz w:val="14"/>
                <w:szCs w:val="24"/>
                <w:lang w:val="es-CO" w:eastAsia="es-CO"/>
              </w:rPr>
            </w:pPr>
            <w:r w:rsidRPr="00A828EC">
              <w:rPr>
                <w:rFonts w:eastAsia="Times New Roman" w:cs="Arial"/>
                <w:color w:val="000000"/>
                <w:sz w:val="14"/>
                <w:szCs w:val="24"/>
                <w:lang w:val="es-CO" w:eastAsia="es-CO"/>
              </w:rPr>
              <w:t>2.500.000.000</w:t>
            </w:r>
          </w:p>
        </w:tc>
        <w:tc>
          <w:tcPr>
            <w:tcW w:w="1417"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0,00%</w:t>
            </w:r>
          </w:p>
        </w:tc>
        <w:tc>
          <w:tcPr>
            <w:tcW w:w="1320" w:type="dxa"/>
            <w:tcBorders>
              <w:top w:val="nil"/>
              <w:left w:val="nil"/>
              <w:bottom w:val="single" w:sz="4" w:space="0" w:color="auto"/>
              <w:right w:val="single" w:sz="4" w:space="0" w:color="auto"/>
            </w:tcBorders>
            <w:shd w:val="clear" w:color="auto" w:fill="auto"/>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0,00%</w:t>
            </w:r>
          </w:p>
        </w:tc>
      </w:tr>
      <w:tr w:rsidR="0021512D" w:rsidRPr="00A828EC" w:rsidTr="00A828EC">
        <w:trPr>
          <w:trHeight w:val="265"/>
        </w:trPr>
        <w:tc>
          <w:tcPr>
            <w:tcW w:w="4385" w:type="dxa"/>
            <w:tcBorders>
              <w:top w:val="nil"/>
              <w:left w:val="single" w:sz="8" w:space="0" w:color="auto"/>
              <w:bottom w:val="single" w:sz="8" w:space="0" w:color="auto"/>
              <w:right w:val="single" w:sz="4" w:space="0" w:color="auto"/>
            </w:tcBorders>
            <w:shd w:val="clear" w:color="000000" w:fill="D9D9D9"/>
            <w:vAlign w:val="center"/>
            <w:hideMark/>
          </w:tcPr>
          <w:p w:rsidR="0021512D" w:rsidRPr="00A828EC" w:rsidRDefault="0021512D" w:rsidP="00F91368">
            <w:pPr>
              <w:spacing w:line="240" w:lineRule="auto"/>
              <w:jc w:val="left"/>
              <w:rPr>
                <w:rFonts w:eastAsia="Times New Roman" w:cs="Arial"/>
                <w:b/>
                <w:bCs/>
                <w:color w:val="000000"/>
                <w:sz w:val="14"/>
                <w:lang w:val="es-CO" w:eastAsia="es-CO"/>
              </w:rPr>
            </w:pPr>
            <w:r w:rsidRPr="00A828EC">
              <w:rPr>
                <w:rFonts w:eastAsia="Times New Roman" w:cs="Arial"/>
                <w:b/>
                <w:bCs/>
                <w:color w:val="000000"/>
                <w:sz w:val="14"/>
                <w:lang w:val="es-CO" w:eastAsia="es-CO"/>
              </w:rPr>
              <w:t>TOTAL</w:t>
            </w:r>
          </w:p>
        </w:tc>
        <w:tc>
          <w:tcPr>
            <w:tcW w:w="1701" w:type="dxa"/>
            <w:tcBorders>
              <w:top w:val="nil"/>
              <w:left w:val="nil"/>
              <w:bottom w:val="single" w:sz="8" w:space="0" w:color="auto"/>
              <w:right w:val="single" w:sz="4" w:space="0" w:color="auto"/>
            </w:tcBorders>
            <w:shd w:val="clear" w:color="000000" w:fill="D9D9D9"/>
            <w:noWrap/>
            <w:vAlign w:val="center"/>
            <w:hideMark/>
          </w:tcPr>
          <w:p w:rsidR="0021512D" w:rsidRPr="00A828EC" w:rsidRDefault="0021512D" w:rsidP="00F91368">
            <w:pPr>
              <w:spacing w:line="240" w:lineRule="auto"/>
              <w:jc w:val="center"/>
              <w:rPr>
                <w:rFonts w:eastAsia="Times New Roman" w:cs="Arial"/>
                <w:b/>
                <w:bCs/>
                <w:color w:val="000000"/>
                <w:sz w:val="14"/>
                <w:szCs w:val="24"/>
                <w:lang w:val="es-CO" w:eastAsia="es-CO"/>
              </w:rPr>
            </w:pPr>
            <w:r w:rsidRPr="00A828EC">
              <w:rPr>
                <w:rFonts w:eastAsia="Times New Roman" w:cs="Arial"/>
                <w:b/>
                <w:bCs/>
                <w:color w:val="000000"/>
                <w:sz w:val="14"/>
                <w:szCs w:val="24"/>
                <w:lang w:val="es-CO" w:eastAsia="es-CO"/>
              </w:rPr>
              <w:t>7.423.574.099.195</w:t>
            </w:r>
          </w:p>
        </w:tc>
        <w:tc>
          <w:tcPr>
            <w:tcW w:w="1417" w:type="dxa"/>
            <w:tcBorders>
              <w:top w:val="nil"/>
              <w:left w:val="nil"/>
              <w:bottom w:val="single" w:sz="8" w:space="0" w:color="auto"/>
              <w:right w:val="single" w:sz="4" w:space="0" w:color="auto"/>
            </w:tcBorders>
            <w:shd w:val="clear" w:color="000000" w:fill="D9D9D9"/>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97,9%</w:t>
            </w:r>
          </w:p>
        </w:tc>
        <w:tc>
          <w:tcPr>
            <w:tcW w:w="1320" w:type="dxa"/>
            <w:tcBorders>
              <w:top w:val="nil"/>
              <w:left w:val="nil"/>
              <w:bottom w:val="single" w:sz="8" w:space="0" w:color="auto"/>
              <w:right w:val="single" w:sz="4" w:space="0" w:color="auto"/>
            </w:tcBorders>
            <w:shd w:val="clear" w:color="000000" w:fill="D9D9D9"/>
            <w:noWrap/>
            <w:vAlign w:val="center"/>
            <w:hideMark/>
          </w:tcPr>
          <w:p w:rsidR="0021512D" w:rsidRPr="00A828EC" w:rsidRDefault="0021512D" w:rsidP="00F91368">
            <w:pPr>
              <w:spacing w:line="240" w:lineRule="auto"/>
              <w:jc w:val="right"/>
              <w:rPr>
                <w:rFonts w:eastAsia="Times New Roman" w:cs="Arial"/>
                <w:bCs/>
                <w:color w:val="000000"/>
                <w:sz w:val="14"/>
                <w:szCs w:val="24"/>
                <w:lang w:val="es-CO" w:eastAsia="es-CO"/>
              </w:rPr>
            </w:pPr>
            <w:r w:rsidRPr="00A828EC">
              <w:rPr>
                <w:rFonts w:eastAsia="Times New Roman" w:cs="Arial"/>
                <w:bCs/>
                <w:color w:val="000000"/>
                <w:sz w:val="14"/>
                <w:szCs w:val="24"/>
                <w:lang w:val="es-CO" w:eastAsia="es-CO"/>
              </w:rPr>
              <w:t>78,2%</w:t>
            </w:r>
          </w:p>
        </w:tc>
      </w:tr>
    </w:tbl>
    <w:p w:rsidR="0021512D" w:rsidRDefault="0021512D" w:rsidP="00EA6BEB">
      <w:pPr>
        <w:pStyle w:val="Ttulo2"/>
      </w:pPr>
      <w:bookmarkStart w:id="7" w:name="_Toc473412363"/>
      <w:bookmarkStart w:id="8" w:name="_Toc473412513"/>
    </w:p>
    <w:p w:rsidR="0021512D" w:rsidRDefault="0021512D" w:rsidP="003D44B7">
      <w:pPr>
        <w:pStyle w:val="Ttulo2"/>
        <w:numPr>
          <w:ilvl w:val="1"/>
          <w:numId w:val="88"/>
        </w:numPr>
      </w:pPr>
      <w:bookmarkStart w:id="9" w:name="_Toc505003477"/>
      <w:r w:rsidRPr="007E3988">
        <w:t>Gestión Presupuestal Ministerio de Transporte</w:t>
      </w:r>
      <w:bookmarkEnd w:id="7"/>
      <w:bookmarkEnd w:id="8"/>
      <w:bookmarkEnd w:id="9"/>
    </w:p>
    <w:p w:rsidR="0021512D" w:rsidRPr="00A828EC" w:rsidRDefault="0021512D" w:rsidP="0021512D">
      <w:pPr>
        <w:rPr>
          <w:rFonts w:cs="Arial"/>
          <w:sz w:val="14"/>
        </w:rPr>
      </w:pPr>
    </w:p>
    <w:p w:rsidR="0021512D" w:rsidRPr="007E3988" w:rsidRDefault="0021512D" w:rsidP="0021512D">
      <w:pPr>
        <w:rPr>
          <w:rFonts w:cs="Arial"/>
          <w:sz w:val="22"/>
        </w:rPr>
      </w:pPr>
      <w:r>
        <w:rPr>
          <w:rFonts w:cs="Arial"/>
          <w:sz w:val="22"/>
        </w:rPr>
        <w:t>Mediante Ley 1815</w:t>
      </w:r>
      <w:r w:rsidRPr="007E3988">
        <w:rPr>
          <w:rFonts w:cs="Arial"/>
          <w:sz w:val="22"/>
        </w:rPr>
        <w:t xml:space="preserve"> de diciembre de 201</w:t>
      </w:r>
      <w:r>
        <w:rPr>
          <w:rFonts w:cs="Arial"/>
          <w:sz w:val="22"/>
        </w:rPr>
        <w:t>6</w:t>
      </w:r>
      <w:r w:rsidRPr="007E3988">
        <w:rPr>
          <w:rFonts w:cs="Arial"/>
          <w:sz w:val="22"/>
        </w:rPr>
        <w:t>, se asignó al Ministerio de Transporte un presupue</w:t>
      </w:r>
      <w:r>
        <w:rPr>
          <w:rFonts w:cs="Arial"/>
          <w:sz w:val="22"/>
        </w:rPr>
        <w:t>sto de Funcionamiento de $63.000</w:t>
      </w:r>
      <w:r w:rsidRPr="007E3988">
        <w:rPr>
          <w:rFonts w:cs="Arial"/>
          <w:sz w:val="22"/>
        </w:rPr>
        <w:t xml:space="preserve"> millones y en Inversión $ </w:t>
      </w:r>
      <w:r>
        <w:rPr>
          <w:rFonts w:cs="Arial"/>
          <w:sz w:val="22"/>
        </w:rPr>
        <w:t>199.475</w:t>
      </w:r>
      <w:r w:rsidRPr="007E3988">
        <w:rPr>
          <w:rFonts w:cs="Arial"/>
          <w:sz w:val="22"/>
        </w:rPr>
        <w:t xml:space="preserve"> millones.</w:t>
      </w:r>
    </w:p>
    <w:p w:rsidR="0021512D" w:rsidRPr="00A828EC" w:rsidRDefault="0021512D" w:rsidP="0021512D">
      <w:pPr>
        <w:rPr>
          <w:rFonts w:cs="Arial"/>
          <w:sz w:val="14"/>
        </w:rPr>
      </w:pPr>
    </w:p>
    <w:p w:rsidR="0021512D" w:rsidRPr="007E3988" w:rsidRDefault="0021512D" w:rsidP="0021512D">
      <w:pPr>
        <w:rPr>
          <w:rFonts w:cs="Arial"/>
          <w:sz w:val="22"/>
        </w:rPr>
      </w:pPr>
      <w:r w:rsidRPr="007E3988">
        <w:rPr>
          <w:rFonts w:cs="Arial"/>
          <w:sz w:val="22"/>
        </w:rPr>
        <w:t xml:space="preserve">Posteriormente mediante </w:t>
      </w:r>
      <w:r>
        <w:rPr>
          <w:rFonts w:cs="Arial"/>
          <w:sz w:val="22"/>
        </w:rPr>
        <w:t xml:space="preserve">ley 1837 de julio de 2017, </w:t>
      </w:r>
      <w:r w:rsidRPr="003E2DCD">
        <w:rPr>
          <w:rFonts w:cs="Arial"/>
          <w:sz w:val="22"/>
        </w:rPr>
        <w:t>por el cual se efectúan algunas modificaciones al presupuesto general de la nación</w:t>
      </w:r>
      <w:r>
        <w:rPr>
          <w:rFonts w:cs="Arial"/>
          <w:sz w:val="22"/>
        </w:rPr>
        <w:t>, se adicionaron recursos al Ministerio de Transporte por valor de $14.900 millones; de igual forma en diciembre de 2017 mediante Decreto 2118 de 2017, “</w:t>
      </w:r>
      <w:r w:rsidRPr="003E2DCD">
        <w:rPr>
          <w:rFonts w:cs="Arial"/>
          <w:i/>
          <w:sz w:val="22"/>
        </w:rPr>
        <w:t>por el cual se reducen unas apropiaciones al presupuesto general de la nación</w:t>
      </w:r>
      <w:r>
        <w:rPr>
          <w:rFonts w:cs="Arial"/>
          <w:i/>
          <w:sz w:val="22"/>
        </w:rPr>
        <w:t xml:space="preserve"> de la vigencia 2017”</w:t>
      </w:r>
      <w:r>
        <w:rPr>
          <w:rFonts w:cs="Arial"/>
          <w:sz w:val="22"/>
        </w:rPr>
        <w:t xml:space="preserve">, se redujo el valor de $1.283 millones, por tanto la vigencia 2017 se cerró con una apropiación vigente de $70.231 millones en el presupuesto de funcionamiento y $233.192 en inversión, para un total de $303.423 millones.  </w:t>
      </w:r>
      <w:r w:rsidRPr="007E3988">
        <w:rPr>
          <w:rFonts w:cs="Arial"/>
          <w:sz w:val="22"/>
        </w:rPr>
        <w:t xml:space="preserve"> </w:t>
      </w:r>
    </w:p>
    <w:p w:rsidR="0021512D" w:rsidRPr="00A828EC" w:rsidRDefault="0021512D" w:rsidP="0021512D">
      <w:pPr>
        <w:spacing w:line="240" w:lineRule="auto"/>
        <w:rPr>
          <w:rFonts w:cs="Arial"/>
          <w:sz w:val="18"/>
        </w:rPr>
      </w:pPr>
    </w:p>
    <w:p w:rsidR="0021512D" w:rsidRPr="007E3988" w:rsidRDefault="0021512D" w:rsidP="0021512D">
      <w:pPr>
        <w:rPr>
          <w:rFonts w:cs="Arial"/>
          <w:sz w:val="22"/>
        </w:rPr>
      </w:pPr>
      <w:r w:rsidRPr="007E3988">
        <w:rPr>
          <w:rFonts w:cs="Arial"/>
          <w:sz w:val="22"/>
        </w:rPr>
        <w:t xml:space="preserve">Para la vigencia </w:t>
      </w:r>
      <w:r>
        <w:rPr>
          <w:rFonts w:cs="Arial"/>
          <w:sz w:val="22"/>
        </w:rPr>
        <w:t>fiscal del año 2017</w:t>
      </w:r>
      <w:r w:rsidRPr="007E3988">
        <w:rPr>
          <w:rFonts w:cs="Arial"/>
          <w:sz w:val="22"/>
        </w:rPr>
        <w:t xml:space="preserve"> el Ministerio de Transporte en el presupuesto de inversió</w:t>
      </w:r>
      <w:r>
        <w:rPr>
          <w:rFonts w:cs="Arial"/>
          <w:sz w:val="22"/>
        </w:rPr>
        <w:t>n alcanzó una ejecución del 94</w:t>
      </w:r>
      <w:r w:rsidRPr="007E3988">
        <w:rPr>
          <w:rFonts w:cs="Arial"/>
          <w:sz w:val="22"/>
        </w:rPr>
        <w:t>%, en obli</w:t>
      </w:r>
      <w:r>
        <w:rPr>
          <w:rFonts w:cs="Arial"/>
          <w:sz w:val="22"/>
        </w:rPr>
        <w:t xml:space="preserve">gaciones, siendo una de las </w:t>
      </w:r>
      <w:r w:rsidRPr="007E3988">
        <w:rPr>
          <w:rFonts w:cs="Arial"/>
          <w:sz w:val="22"/>
        </w:rPr>
        <w:t>mejor</w:t>
      </w:r>
      <w:r>
        <w:rPr>
          <w:rFonts w:cs="Arial"/>
          <w:sz w:val="22"/>
        </w:rPr>
        <w:t>es ejecuciones</w:t>
      </w:r>
      <w:r w:rsidRPr="007E3988">
        <w:rPr>
          <w:rFonts w:cs="Arial"/>
          <w:sz w:val="22"/>
        </w:rPr>
        <w:t xml:space="preserve"> en los últimos diez años tal y como se evidencia en el gráfico 3. </w:t>
      </w:r>
    </w:p>
    <w:p w:rsidR="0021512D" w:rsidRPr="007E3988" w:rsidRDefault="0021512D" w:rsidP="0021512D">
      <w:pPr>
        <w:rPr>
          <w:rFonts w:cs="Arial"/>
          <w:sz w:val="22"/>
        </w:rPr>
      </w:pPr>
    </w:p>
    <w:p w:rsidR="0021512D" w:rsidRPr="007E3988" w:rsidRDefault="0021512D" w:rsidP="0021512D">
      <w:pPr>
        <w:jc w:val="center"/>
        <w:rPr>
          <w:rFonts w:cs="Arial"/>
          <w:sz w:val="22"/>
        </w:rPr>
      </w:pPr>
      <w:r w:rsidRPr="007E3988">
        <w:rPr>
          <w:rFonts w:cs="Arial"/>
          <w:sz w:val="22"/>
        </w:rPr>
        <w:t xml:space="preserve">Gráfico 3 </w:t>
      </w:r>
      <w:r>
        <w:rPr>
          <w:rFonts w:cs="Arial"/>
          <w:sz w:val="22"/>
        </w:rPr>
        <w:t xml:space="preserve">– Ejecución Inversión PGN - </w:t>
      </w:r>
      <w:r w:rsidRPr="007E3988">
        <w:rPr>
          <w:rFonts w:cs="Arial"/>
          <w:sz w:val="22"/>
        </w:rPr>
        <w:t>Ministerio de Transporte</w:t>
      </w:r>
    </w:p>
    <w:p w:rsidR="0021512D" w:rsidRPr="007E3988" w:rsidRDefault="0021512D" w:rsidP="0021512D">
      <w:pPr>
        <w:rPr>
          <w:rFonts w:cs="Arial"/>
          <w:szCs w:val="24"/>
        </w:rPr>
      </w:pPr>
      <w:r>
        <w:rPr>
          <w:noProof/>
          <w:lang w:val="es-CO" w:eastAsia="es-CO"/>
        </w:rPr>
        <w:drawing>
          <wp:inline distT="0" distB="0" distL="0" distR="0" wp14:anchorId="1C865A14" wp14:editId="693A608B">
            <wp:extent cx="4933950" cy="14859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512D" w:rsidRPr="007E3988" w:rsidRDefault="0021512D" w:rsidP="0021512D">
      <w:pPr>
        <w:pStyle w:val="Prrafodelista"/>
        <w:spacing w:line="240" w:lineRule="auto"/>
        <w:ind w:left="0" w:firstLine="1134"/>
        <w:mirrorIndents/>
        <w:jc w:val="left"/>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Pr="007E3988" w:rsidRDefault="0021512D" w:rsidP="0021512D">
      <w:pPr>
        <w:rPr>
          <w:rFonts w:cs="Arial"/>
          <w:lang w:val="es-ES_tradnl"/>
        </w:rPr>
      </w:pPr>
    </w:p>
    <w:p w:rsidR="0021512D" w:rsidRPr="007E3988" w:rsidRDefault="0021512D" w:rsidP="0021512D">
      <w:pPr>
        <w:rPr>
          <w:rFonts w:cs="Arial"/>
          <w:sz w:val="22"/>
        </w:rPr>
      </w:pPr>
      <w:r w:rsidRPr="007E3988">
        <w:rPr>
          <w:rFonts w:cs="Arial"/>
          <w:sz w:val="22"/>
        </w:rPr>
        <w:t>En la siguiente tabla se muestra la ejecución de la Entidad por grandes rubros:</w:t>
      </w:r>
    </w:p>
    <w:p w:rsidR="0021512D" w:rsidRPr="007E3988" w:rsidRDefault="0021512D" w:rsidP="008D2446">
      <w:pPr>
        <w:spacing w:line="240" w:lineRule="auto"/>
        <w:jc w:val="center"/>
        <w:rPr>
          <w:rFonts w:cs="Arial"/>
          <w:sz w:val="22"/>
        </w:rPr>
      </w:pPr>
      <w:r w:rsidRPr="007E3988">
        <w:rPr>
          <w:rFonts w:cs="Arial"/>
          <w:sz w:val="22"/>
        </w:rPr>
        <w:t xml:space="preserve">Tabla 2 -Ejecución Total Funcionamiento + Inversión </w:t>
      </w:r>
    </w:p>
    <w:p w:rsidR="0021512D" w:rsidRPr="007E3988" w:rsidRDefault="0021512D" w:rsidP="008D2446">
      <w:pPr>
        <w:spacing w:line="240" w:lineRule="auto"/>
        <w:jc w:val="center"/>
        <w:rPr>
          <w:rFonts w:cs="Arial"/>
          <w:sz w:val="22"/>
        </w:rPr>
      </w:pPr>
      <w:r w:rsidRPr="007E3988">
        <w:rPr>
          <w:rFonts w:cs="Arial"/>
          <w:sz w:val="22"/>
        </w:rPr>
        <w:t>Ministerio de Transporte</w:t>
      </w:r>
    </w:p>
    <w:tbl>
      <w:tblPr>
        <w:tblW w:w="5008" w:type="pct"/>
        <w:tblLayout w:type="fixed"/>
        <w:tblCellMar>
          <w:left w:w="70" w:type="dxa"/>
          <w:right w:w="70" w:type="dxa"/>
        </w:tblCellMar>
        <w:tblLook w:val="04A0" w:firstRow="1" w:lastRow="0" w:firstColumn="1" w:lastColumn="0" w:noHBand="0" w:noVBand="1"/>
      </w:tblPr>
      <w:tblGrid>
        <w:gridCol w:w="2268"/>
        <w:gridCol w:w="1696"/>
        <w:gridCol w:w="1842"/>
        <w:gridCol w:w="709"/>
        <w:gridCol w:w="1560"/>
        <w:gridCol w:w="766"/>
      </w:tblGrid>
      <w:tr w:rsidR="0021512D" w:rsidRPr="00A828EC" w:rsidTr="00664C45">
        <w:trPr>
          <w:trHeight w:val="184"/>
        </w:trPr>
        <w:tc>
          <w:tcPr>
            <w:tcW w:w="1283" w:type="pct"/>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rsidR="0021512D" w:rsidRPr="00A828EC" w:rsidRDefault="0021512D"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CONCEPTO</w:t>
            </w:r>
          </w:p>
        </w:tc>
        <w:tc>
          <w:tcPr>
            <w:tcW w:w="959" w:type="pct"/>
            <w:vMerge w:val="restart"/>
            <w:tcBorders>
              <w:top w:val="single" w:sz="8" w:space="0" w:color="auto"/>
              <w:left w:val="single" w:sz="4" w:space="0" w:color="auto"/>
              <w:bottom w:val="single" w:sz="8" w:space="0" w:color="000000"/>
              <w:right w:val="nil"/>
            </w:tcBorders>
            <w:shd w:val="clear" w:color="000000" w:fill="F2F2F2"/>
            <w:vAlign w:val="center"/>
            <w:hideMark/>
          </w:tcPr>
          <w:p w:rsidR="0021512D" w:rsidRPr="00A828EC" w:rsidRDefault="00664C45"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 xml:space="preserve"> APROPIACIÓ</w:t>
            </w:r>
            <w:r w:rsidR="0021512D" w:rsidRPr="00A828EC">
              <w:rPr>
                <w:rFonts w:eastAsia="Times New Roman" w:cs="Arial"/>
                <w:b/>
                <w:bCs/>
                <w:color w:val="000000"/>
                <w:sz w:val="14"/>
                <w:szCs w:val="18"/>
                <w:lang w:val="es-CO" w:eastAsia="es-CO"/>
              </w:rPr>
              <w:t xml:space="preserve">N </w:t>
            </w:r>
          </w:p>
        </w:tc>
        <w:tc>
          <w:tcPr>
            <w:tcW w:w="1443" w:type="pct"/>
            <w:gridSpan w:val="2"/>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rsidR="0021512D" w:rsidRPr="00A828EC" w:rsidRDefault="0021512D"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 xml:space="preserve"> COMPROMISO </w:t>
            </w:r>
          </w:p>
        </w:tc>
        <w:tc>
          <w:tcPr>
            <w:tcW w:w="1315" w:type="pct"/>
            <w:gridSpan w:val="2"/>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rsidR="0021512D" w:rsidRPr="00A828EC" w:rsidRDefault="00664C45"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 xml:space="preserve"> OBLIGACIÓ</w:t>
            </w:r>
            <w:r w:rsidR="0021512D" w:rsidRPr="00A828EC">
              <w:rPr>
                <w:rFonts w:eastAsia="Times New Roman" w:cs="Arial"/>
                <w:b/>
                <w:bCs/>
                <w:color w:val="000000"/>
                <w:sz w:val="14"/>
                <w:szCs w:val="18"/>
                <w:lang w:val="es-CO" w:eastAsia="es-CO"/>
              </w:rPr>
              <w:t xml:space="preserve">N </w:t>
            </w:r>
          </w:p>
        </w:tc>
      </w:tr>
      <w:tr w:rsidR="0021512D" w:rsidRPr="00A828EC" w:rsidTr="008D2446">
        <w:trPr>
          <w:trHeight w:val="385"/>
        </w:trPr>
        <w:tc>
          <w:tcPr>
            <w:tcW w:w="1283" w:type="pct"/>
            <w:vMerge/>
            <w:tcBorders>
              <w:top w:val="single" w:sz="8" w:space="0" w:color="auto"/>
              <w:left w:val="single" w:sz="4" w:space="0" w:color="auto"/>
              <w:bottom w:val="single" w:sz="8" w:space="0" w:color="000000"/>
              <w:right w:val="single" w:sz="4" w:space="0" w:color="auto"/>
            </w:tcBorders>
            <w:vAlign w:val="center"/>
            <w:hideMark/>
          </w:tcPr>
          <w:p w:rsidR="0021512D" w:rsidRPr="00A828EC" w:rsidRDefault="0021512D" w:rsidP="00F91368">
            <w:pPr>
              <w:spacing w:line="240" w:lineRule="auto"/>
              <w:jc w:val="left"/>
              <w:rPr>
                <w:rFonts w:eastAsia="Times New Roman" w:cs="Arial"/>
                <w:b/>
                <w:bCs/>
                <w:color w:val="000000"/>
                <w:sz w:val="14"/>
                <w:szCs w:val="18"/>
                <w:lang w:val="es-CO" w:eastAsia="es-CO"/>
              </w:rPr>
            </w:pPr>
          </w:p>
        </w:tc>
        <w:tc>
          <w:tcPr>
            <w:tcW w:w="959" w:type="pct"/>
            <w:vMerge/>
            <w:tcBorders>
              <w:top w:val="single" w:sz="8" w:space="0" w:color="auto"/>
              <w:left w:val="single" w:sz="4" w:space="0" w:color="auto"/>
              <w:bottom w:val="single" w:sz="8" w:space="0" w:color="000000"/>
              <w:right w:val="nil"/>
            </w:tcBorders>
            <w:vAlign w:val="center"/>
            <w:hideMark/>
          </w:tcPr>
          <w:p w:rsidR="0021512D" w:rsidRPr="00A828EC" w:rsidRDefault="0021512D" w:rsidP="00F91368">
            <w:pPr>
              <w:spacing w:line="240" w:lineRule="auto"/>
              <w:jc w:val="left"/>
              <w:rPr>
                <w:rFonts w:eastAsia="Times New Roman" w:cs="Arial"/>
                <w:b/>
                <w:bCs/>
                <w:color w:val="000000"/>
                <w:sz w:val="14"/>
                <w:szCs w:val="18"/>
                <w:lang w:val="es-CO" w:eastAsia="es-CO"/>
              </w:rPr>
            </w:pPr>
          </w:p>
        </w:tc>
        <w:tc>
          <w:tcPr>
            <w:tcW w:w="1443" w:type="pct"/>
            <w:gridSpan w:val="2"/>
            <w:vMerge/>
            <w:tcBorders>
              <w:top w:val="single" w:sz="8" w:space="0" w:color="auto"/>
              <w:left w:val="single" w:sz="8" w:space="0" w:color="auto"/>
              <w:bottom w:val="single" w:sz="8" w:space="0" w:color="000000"/>
              <w:right w:val="single" w:sz="4" w:space="0" w:color="auto"/>
            </w:tcBorders>
            <w:vAlign w:val="center"/>
            <w:hideMark/>
          </w:tcPr>
          <w:p w:rsidR="0021512D" w:rsidRPr="00A828EC" w:rsidRDefault="0021512D" w:rsidP="00F91368">
            <w:pPr>
              <w:spacing w:line="240" w:lineRule="auto"/>
              <w:jc w:val="left"/>
              <w:rPr>
                <w:rFonts w:eastAsia="Times New Roman" w:cs="Arial"/>
                <w:b/>
                <w:bCs/>
                <w:color w:val="000000"/>
                <w:sz w:val="14"/>
                <w:szCs w:val="18"/>
                <w:lang w:val="es-CO" w:eastAsia="es-CO"/>
              </w:rPr>
            </w:pPr>
          </w:p>
        </w:tc>
        <w:tc>
          <w:tcPr>
            <w:tcW w:w="1315" w:type="pct"/>
            <w:gridSpan w:val="2"/>
            <w:vMerge/>
            <w:tcBorders>
              <w:top w:val="single" w:sz="8" w:space="0" w:color="auto"/>
              <w:left w:val="single" w:sz="4" w:space="0" w:color="auto"/>
              <w:bottom w:val="single" w:sz="8" w:space="0" w:color="000000"/>
              <w:right w:val="single" w:sz="4" w:space="0" w:color="auto"/>
            </w:tcBorders>
            <w:vAlign w:val="center"/>
            <w:hideMark/>
          </w:tcPr>
          <w:p w:rsidR="0021512D" w:rsidRPr="00A828EC" w:rsidRDefault="0021512D" w:rsidP="00F91368">
            <w:pPr>
              <w:spacing w:line="240" w:lineRule="auto"/>
              <w:jc w:val="left"/>
              <w:rPr>
                <w:rFonts w:eastAsia="Times New Roman" w:cs="Arial"/>
                <w:b/>
                <w:bCs/>
                <w:color w:val="000000"/>
                <w:sz w:val="14"/>
                <w:szCs w:val="18"/>
                <w:lang w:val="es-CO" w:eastAsia="es-CO"/>
              </w:rPr>
            </w:pPr>
          </w:p>
        </w:tc>
      </w:tr>
      <w:tr w:rsidR="0021512D" w:rsidRPr="00A828EC" w:rsidTr="00A828EC">
        <w:trPr>
          <w:trHeight w:val="281"/>
        </w:trPr>
        <w:tc>
          <w:tcPr>
            <w:tcW w:w="1283" w:type="pct"/>
            <w:tcBorders>
              <w:top w:val="nil"/>
              <w:left w:val="single" w:sz="8" w:space="0" w:color="auto"/>
              <w:bottom w:val="nil"/>
              <w:right w:val="single" w:sz="4" w:space="0" w:color="auto"/>
            </w:tcBorders>
            <w:shd w:val="clear" w:color="000000" w:fill="F2F2F2"/>
            <w:vAlign w:val="center"/>
          </w:tcPr>
          <w:p w:rsidR="0021512D" w:rsidRPr="00A828EC" w:rsidRDefault="0021512D"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MINTRANSPORTE</w:t>
            </w:r>
          </w:p>
        </w:tc>
        <w:tc>
          <w:tcPr>
            <w:tcW w:w="959" w:type="pct"/>
            <w:tcBorders>
              <w:top w:val="nil"/>
              <w:left w:val="nil"/>
              <w:bottom w:val="nil"/>
              <w:right w:val="nil"/>
            </w:tcBorders>
            <w:shd w:val="clear" w:color="000000" w:fill="F2F2F2"/>
            <w:vAlign w:val="center"/>
            <w:hideMark/>
          </w:tcPr>
          <w:p w:rsidR="0021512D" w:rsidRPr="00A828EC" w:rsidRDefault="0021512D" w:rsidP="00A828EC">
            <w:pPr>
              <w:jc w:val="center"/>
              <w:rPr>
                <w:rFonts w:cs="Arial"/>
                <w:b/>
                <w:sz w:val="14"/>
                <w:szCs w:val="18"/>
              </w:rPr>
            </w:pPr>
            <w:r w:rsidRPr="00A828EC">
              <w:rPr>
                <w:rFonts w:cs="Arial"/>
                <w:b/>
                <w:sz w:val="14"/>
                <w:szCs w:val="18"/>
              </w:rPr>
              <w:t>303.423.341.407</w:t>
            </w:r>
          </w:p>
        </w:tc>
        <w:tc>
          <w:tcPr>
            <w:tcW w:w="1042" w:type="pct"/>
            <w:tcBorders>
              <w:top w:val="nil"/>
              <w:left w:val="single" w:sz="8" w:space="0" w:color="auto"/>
              <w:bottom w:val="nil"/>
              <w:right w:val="single" w:sz="4" w:space="0" w:color="auto"/>
            </w:tcBorders>
            <w:shd w:val="clear" w:color="000000" w:fill="F2F2F2"/>
            <w:vAlign w:val="center"/>
            <w:hideMark/>
          </w:tcPr>
          <w:p w:rsidR="0021512D" w:rsidRPr="00A828EC" w:rsidRDefault="0021512D" w:rsidP="00A828EC">
            <w:pPr>
              <w:jc w:val="center"/>
              <w:rPr>
                <w:rFonts w:cs="Arial"/>
                <w:b/>
                <w:sz w:val="14"/>
                <w:szCs w:val="18"/>
              </w:rPr>
            </w:pPr>
            <w:r w:rsidRPr="00A828EC">
              <w:rPr>
                <w:rFonts w:cs="Arial"/>
                <w:b/>
                <w:sz w:val="14"/>
                <w:szCs w:val="18"/>
              </w:rPr>
              <w:t>294.534.344.865</w:t>
            </w:r>
          </w:p>
        </w:tc>
        <w:tc>
          <w:tcPr>
            <w:tcW w:w="401" w:type="pct"/>
            <w:tcBorders>
              <w:top w:val="nil"/>
              <w:left w:val="nil"/>
              <w:bottom w:val="nil"/>
              <w:right w:val="single" w:sz="4" w:space="0" w:color="auto"/>
            </w:tcBorders>
            <w:shd w:val="clear" w:color="000000" w:fill="F2F2F2"/>
            <w:vAlign w:val="center"/>
            <w:hideMark/>
          </w:tcPr>
          <w:p w:rsidR="0021512D" w:rsidRPr="00A828EC" w:rsidRDefault="0021512D" w:rsidP="00A828EC">
            <w:pPr>
              <w:jc w:val="center"/>
              <w:rPr>
                <w:rFonts w:cs="Arial"/>
                <w:b/>
                <w:sz w:val="14"/>
                <w:szCs w:val="18"/>
              </w:rPr>
            </w:pPr>
            <w:r w:rsidRPr="00A828EC">
              <w:rPr>
                <w:rFonts w:cs="Arial"/>
                <w:b/>
                <w:sz w:val="14"/>
                <w:szCs w:val="18"/>
              </w:rPr>
              <w:t>97,1%</w:t>
            </w:r>
          </w:p>
        </w:tc>
        <w:tc>
          <w:tcPr>
            <w:tcW w:w="882" w:type="pct"/>
            <w:tcBorders>
              <w:top w:val="nil"/>
              <w:left w:val="nil"/>
              <w:bottom w:val="nil"/>
              <w:right w:val="single" w:sz="4" w:space="0" w:color="auto"/>
            </w:tcBorders>
            <w:shd w:val="clear" w:color="000000" w:fill="F2F2F2"/>
            <w:vAlign w:val="center"/>
            <w:hideMark/>
          </w:tcPr>
          <w:p w:rsidR="0021512D" w:rsidRPr="00A828EC" w:rsidRDefault="0021512D" w:rsidP="00A828EC">
            <w:pPr>
              <w:jc w:val="center"/>
              <w:rPr>
                <w:rFonts w:cs="Arial"/>
                <w:b/>
                <w:sz w:val="14"/>
                <w:szCs w:val="18"/>
              </w:rPr>
            </w:pPr>
            <w:r w:rsidRPr="00A828EC">
              <w:rPr>
                <w:rFonts w:cs="Arial"/>
                <w:b/>
                <w:sz w:val="14"/>
                <w:szCs w:val="18"/>
              </w:rPr>
              <w:t>284.754.264.430</w:t>
            </w:r>
          </w:p>
        </w:tc>
        <w:tc>
          <w:tcPr>
            <w:tcW w:w="433" w:type="pct"/>
            <w:tcBorders>
              <w:top w:val="nil"/>
              <w:left w:val="nil"/>
              <w:bottom w:val="nil"/>
              <w:right w:val="single" w:sz="4" w:space="0" w:color="auto"/>
            </w:tcBorders>
            <w:shd w:val="clear" w:color="000000" w:fill="F2F2F2"/>
            <w:vAlign w:val="center"/>
            <w:hideMark/>
          </w:tcPr>
          <w:p w:rsidR="0021512D" w:rsidRPr="00A828EC" w:rsidRDefault="0021512D" w:rsidP="00A828EC">
            <w:pPr>
              <w:jc w:val="center"/>
              <w:rPr>
                <w:rFonts w:cs="Arial"/>
                <w:b/>
                <w:sz w:val="14"/>
                <w:szCs w:val="18"/>
              </w:rPr>
            </w:pPr>
            <w:r w:rsidRPr="00A828EC">
              <w:rPr>
                <w:rFonts w:cs="Arial"/>
                <w:b/>
                <w:sz w:val="14"/>
                <w:szCs w:val="18"/>
              </w:rPr>
              <w:t>93,8%</w:t>
            </w:r>
          </w:p>
        </w:tc>
      </w:tr>
      <w:tr w:rsidR="0021512D" w:rsidRPr="00A828EC" w:rsidTr="00A828EC">
        <w:trPr>
          <w:trHeight w:val="271"/>
        </w:trPr>
        <w:tc>
          <w:tcPr>
            <w:tcW w:w="1283" w:type="pct"/>
            <w:tcBorders>
              <w:top w:val="single" w:sz="8" w:space="0" w:color="auto"/>
              <w:left w:val="single" w:sz="8" w:space="0" w:color="auto"/>
              <w:bottom w:val="single" w:sz="4" w:space="0" w:color="auto"/>
              <w:right w:val="single" w:sz="4" w:space="0" w:color="auto"/>
            </w:tcBorders>
            <w:shd w:val="clear" w:color="000000" w:fill="D9D9D9"/>
            <w:vAlign w:val="center"/>
          </w:tcPr>
          <w:p w:rsidR="0021512D" w:rsidRPr="00A828EC" w:rsidRDefault="0021512D"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FUNCIONAMIENTO</w:t>
            </w:r>
          </w:p>
        </w:tc>
        <w:tc>
          <w:tcPr>
            <w:tcW w:w="959" w:type="pct"/>
            <w:tcBorders>
              <w:top w:val="single" w:sz="8" w:space="0" w:color="auto"/>
              <w:left w:val="nil"/>
              <w:bottom w:val="single" w:sz="8" w:space="0" w:color="auto"/>
              <w:right w:val="nil"/>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70.231.368.763</w:t>
            </w:r>
          </w:p>
        </w:tc>
        <w:tc>
          <w:tcPr>
            <w:tcW w:w="1042"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67.078.386.863</w:t>
            </w:r>
          </w:p>
        </w:tc>
        <w:tc>
          <w:tcPr>
            <w:tcW w:w="401" w:type="pct"/>
            <w:tcBorders>
              <w:top w:val="single" w:sz="8" w:space="0" w:color="auto"/>
              <w:left w:val="nil"/>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95,5%</w:t>
            </w:r>
          </w:p>
        </w:tc>
        <w:tc>
          <w:tcPr>
            <w:tcW w:w="882" w:type="pct"/>
            <w:tcBorders>
              <w:top w:val="single" w:sz="8" w:space="0" w:color="auto"/>
              <w:left w:val="nil"/>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66.188.251.865</w:t>
            </w:r>
          </w:p>
        </w:tc>
        <w:tc>
          <w:tcPr>
            <w:tcW w:w="433" w:type="pct"/>
            <w:tcBorders>
              <w:top w:val="single" w:sz="8" w:space="0" w:color="auto"/>
              <w:left w:val="nil"/>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94,2%</w:t>
            </w:r>
          </w:p>
        </w:tc>
      </w:tr>
      <w:tr w:rsidR="0021512D" w:rsidRPr="00A828EC" w:rsidTr="00A828EC">
        <w:trPr>
          <w:trHeight w:val="248"/>
        </w:trPr>
        <w:tc>
          <w:tcPr>
            <w:tcW w:w="1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szCs w:val="18"/>
                <w:lang w:val="es-CO" w:eastAsia="es-CO"/>
              </w:rPr>
            </w:pPr>
            <w:r w:rsidRPr="00A828EC">
              <w:rPr>
                <w:rFonts w:eastAsia="Times New Roman" w:cs="Arial"/>
                <w:color w:val="000000"/>
                <w:sz w:val="14"/>
                <w:szCs w:val="18"/>
                <w:lang w:val="es-CO" w:eastAsia="es-CO"/>
              </w:rPr>
              <w:t>GASTOS DE PERSONAL</w:t>
            </w:r>
          </w:p>
        </w:tc>
        <w:tc>
          <w:tcPr>
            <w:tcW w:w="959" w:type="pct"/>
            <w:tcBorders>
              <w:top w:val="nil"/>
              <w:left w:val="nil"/>
              <w:bottom w:val="single" w:sz="4" w:space="0" w:color="auto"/>
              <w:right w:val="nil"/>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35.114.907.912</w:t>
            </w:r>
          </w:p>
        </w:tc>
        <w:tc>
          <w:tcPr>
            <w:tcW w:w="1042" w:type="pct"/>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34.147.651.148</w:t>
            </w:r>
          </w:p>
        </w:tc>
        <w:tc>
          <w:tcPr>
            <w:tcW w:w="401" w:type="pct"/>
            <w:tcBorders>
              <w:top w:val="nil"/>
              <w:left w:val="nil"/>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b/>
                <w:sz w:val="14"/>
                <w:szCs w:val="18"/>
              </w:rPr>
            </w:pPr>
            <w:r w:rsidRPr="00A828EC">
              <w:rPr>
                <w:rFonts w:cs="Arial"/>
                <w:b/>
                <w:sz w:val="14"/>
                <w:szCs w:val="18"/>
              </w:rPr>
              <w:t>97,2%</w:t>
            </w:r>
          </w:p>
        </w:tc>
        <w:tc>
          <w:tcPr>
            <w:tcW w:w="882" w:type="pct"/>
            <w:tcBorders>
              <w:top w:val="nil"/>
              <w:left w:val="nil"/>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34.142.551.148</w:t>
            </w:r>
          </w:p>
        </w:tc>
        <w:tc>
          <w:tcPr>
            <w:tcW w:w="433" w:type="pct"/>
            <w:tcBorders>
              <w:top w:val="nil"/>
              <w:left w:val="nil"/>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b/>
                <w:sz w:val="14"/>
                <w:szCs w:val="18"/>
              </w:rPr>
            </w:pPr>
            <w:r w:rsidRPr="00A828EC">
              <w:rPr>
                <w:rFonts w:cs="Arial"/>
                <w:b/>
                <w:sz w:val="14"/>
                <w:szCs w:val="18"/>
              </w:rPr>
              <w:t>97,2%</w:t>
            </w:r>
          </w:p>
        </w:tc>
      </w:tr>
      <w:tr w:rsidR="0021512D" w:rsidRPr="00A828EC" w:rsidTr="00A828EC">
        <w:trPr>
          <w:trHeight w:val="134"/>
        </w:trPr>
        <w:tc>
          <w:tcPr>
            <w:tcW w:w="1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szCs w:val="18"/>
                <w:lang w:val="es-CO" w:eastAsia="es-CO"/>
              </w:rPr>
            </w:pPr>
            <w:r w:rsidRPr="00A828EC">
              <w:rPr>
                <w:rFonts w:eastAsia="Times New Roman" w:cs="Arial"/>
                <w:color w:val="000000"/>
                <w:sz w:val="14"/>
                <w:szCs w:val="18"/>
                <w:lang w:val="es-CO" w:eastAsia="es-CO"/>
              </w:rPr>
              <w:t>GASTOS GENERALES</w:t>
            </w:r>
          </w:p>
        </w:tc>
        <w:tc>
          <w:tcPr>
            <w:tcW w:w="959" w:type="pct"/>
            <w:tcBorders>
              <w:top w:val="nil"/>
              <w:left w:val="nil"/>
              <w:bottom w:val="single" w:sz="4" w:space="0" w:color="auto"/>
              <w:right w:val="nil"/>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23.198.758.950</w:t>
            </w:r>
          </w:p>
        </w:tc>
        <w:tc>
          <w:tcPr>
            <w:tcW w:w="1042" w:type="pct"/>
            <w:tcBorders>
              <w:top w:val="nil"/>
              <w:left w:val="single" w:sz="8" w:space="0" w:color="auto"/>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22.834.380.358</w:t>
            </w:r>
          </w:p>
        </w:tc>
        <w:tc>
          <w:tcPr>
            <w:tcW w:w="401" w:type="pct"/>
            <w:tcBorders>
              <w:top w:val="nil"/>
              <w:left w:val="nil"/>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b/>
                <w:sz w:val="14"/>
                <w:szCs w:val="18"/>
              </w:rPr>
            </w:pPr>
            <w:r w:rsidRPr="00A828EC">
              <w:rPr>
                <w:rFonts w:cs="Arial"/>
                <w:b/>
                <w:sz w:val="14"/>
                <w:szCs w:val="18"/>
              </w:rPr>
              <w:t>98,4%</w:t>
            </w:r>
          </w:p>
        </w:tc>
        <w:tc>
          <w:tcPr>
            <w:tcW w:w="882" w:type="pct"/>
            <w:tcBorders>
              <w:top w:val="nil"/>
              <w:left w:val="nil"/>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21.949.345.360</w:t>
            </w:r>
          </w:p>
        </w:tc>
        <w:tc>
          <w:tcPr>
            <w:tcW w:w="433" w:type="pct"/>
            <w:tcBorders>
              <w:top w:val="nil"/>
              <w:left w:val="nil"/>
              <w:bottom w:val="single" w:sz="4" w:space="0" w:color="auto"/>
              <w:right w:val="single" w:sz="4" w:space="0" w:color="auto"/>
            </w:tcBorders>
            <w:shd w:val="clear" w:color="auto" w:fill="auto"/>
            <w:vAlign w:val="center"/>
            <w:hideMark/>
          </w:tcPr>
          <w:p w:rsidR="0021512D" w:rsidRPr="00A828EC" w:rsidRDefault="0021512D" w:rsidP="00A828EC">
            <w:pPr>
              <w:jc w:val="center"/>
              <w:rPr>
                <w:rFonts w:cs="Arial"/>
                <w:b/>
                <w:sz w:val="14"/>
                <w:szCs w:val="18"/>
              </w:rPr>
            </w:pPr>
            <w:r w:rsidRPr="00A828EC">
              <w:rPr>
                <w:rFonts w:cs="Arial"/>
                <w:b/>
                <w:sz w:val="14"/>
                <w:szCs w:val="18"/>
              </w:rPr>
              <w:t>94,6%</w:t>
            </w:r>
          </w:p>
        </w:tc>
      </w:tr>
      <w:tr w:rsidR="0021512D" w:rsidRPr="00A828EC" w:rsidTr="00A828EC">
        <w:trPr>
          <w:trHeight w:val="180"/>
        </w:trPr>
        <w:tc>
          <w:tcPr>
            <w:tcW w:w="1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512D" w:rsidRPr="00A828EC" w:rsidRDefault="0021512D" w:rsidP="00F91368">
            <w:pPr>
              <w:spacing w:line="240" w:lineRule="auto"/>
              <w:jc w:val="left"/>
              <w:rPr>
                <w:rFonts w:eastAsia="Times New Roman" w:cs="Arial"/>
                <w:color w:val="000000"/>
                <w:sz w:val="14"/>
                <w:szCs w:val="18"/>
                <w:lang w:val="es-CO" w:eastAsia="es-CO"/>
              </w:rPr>
            </w:pPr>
            <w:r w:rsidRPr="00A828EC">
              <w:rPr>
                <w:rFonts w:eastAsia="Times New Roman" w:cs="Arial"/>
                <w:color w:val="000000"/>
                <w:sz w:val="14"/>
                <w:szCs w:val="18"/>
                <w:lang w:val="es-CO" w:eastAsia="es-CO"/>
              </w:rPr>
              <w:t>TRANSFERENCIAS</w:t>
            </w:r>
          </w:p>
        </w:tc>
        <w:tc>
          <w:tcPr>
            <w:tcW w:w="959" w:type="pct"/>
            <w:tcBorders>
              <w:top w:val="nil"/>
              <w:left w:val="nil"/>
              <w:bottom w:val="nil"/>
              <w:right w:val="nil"/>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11.917.701.901</w:t>
            </w:r>
          </w:p>
        </w:tc>
        <w:tc>
          <w:tcPr>
            <w:tcW w:w="1042" w:type="pct"/>
            <w:tcBorders>
              <w:top w:val="nil"/>
              <w:left w:val="single" w:sz="8" w:space="0" w:color="auto"/>
              <w:bottom w:val="nil"/>
              <w:right w:val="single" w:sz="4" w:space="0" w:color="auto"/>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10.096.355.357</w:t>
            </w:r>
          </w:p>
        </w:tc>
        <w:tc>
          <w:tcPr>
            <w:tcW w:w="401" w:type="pct"/>
            <w:tcBorders>
              <w:top w:val="nil"/>
              <w:left w:val="nil"/>
              <w:bottom w:val="nil"/>
              <w:right w:val="single" w:sz="4" w:space="0" w:color="auto"/>
            </w:tcBorders>
            <w:shd w:val="clear" w:color="auto" w:fill="auto"/>
            <w:vAlign w:val="center"/>
            <w:hideMark/>
          </w:tcPr>
          <w:p w:rsidR="0021512D" w:rsidRPr="00A828EC" w:rsidRDefault="0021512D" w:rsidP="00A828EC">
            <w:pPr>
              <w:jc w:val="center"/>
              <w:rPr>
                <w:rFonts w:cs="Arial"/>
                <w:b/>
                <w:sz w:val="14"/>
                <w:szCs w:val="18"/>
              </w:rPr>
            </w:pPr>
            <w:r w:rsidRPr="00A828EC">
              <w:rPr>
                <w:rFonts w:cs="Arial"/>
                <w:b/>
                <w:sz w:val="14"/>
                <w:szCs w:val="18"/>
              </w:rPr>
              <w:t>84,7%</w:t>
            </w:r>
          </w:p>
        </w:tc>
        <w:tc>
          <w:tcPr>
            <w:tcW w:w="882" w:type="pct"/>
            <w:tcBorders>
              <w:top w:val="nil"/>
              <w:left w:val="nil"/>
              <w:bottom w:val="nil"/>
              <w:right w:val="single" w:sz="4" w:space="0" w:color="auto"/>
            </w:tcBorders>
            <w:shd w:val="clear" w:color="auto" w:fill="auto"/>
            <w:vAlign w:val="center"/>
            <w:hideMark/>
          </w:tcPr>
          <w:p w:rsidR="0021512D" w:rsidRPr="00A828EC" w:rsidRDefault="0021512D" w:rsidP="00A828EC">
            <w:pPr>
              <w:jc w:val="center"/>
              <w:rPr>
                <w:rFonts w:cs="Arial"/>
                <w:sz w:val="14"/>
                <w:szCs w:val="18"/>
              </w:rPr>
            </w:pPr>
            <w:r w:rsidRPr="00A828EC">
              <w:rPr>
                <w:rFonts w:cs="Arial"/>
                <w:sz w:val="14"/>
                <w:szCs w:val="18"/>
              </w:rPr>
              <w:t>10.096.355.357</w:t>
            </w:r>
          </w:p>
        </w:tc>
        <w:tc>
          <w:tcPr>
            <w:tcW w:w="433" w:type="pct"/>
            <w:tcBorders>
              <w:top w:val="nil"/>
              <w:left w:val="nil"/>
              <w:bottom w:val="nil"/>
              <w:right w:val="single" w:sz="4" w:space="0" w:color="auto"/>
            </w:tcBorders>
            <w:shd w:val="clear" w:color="auto" w:fill="auto"/>
            <w:vAlign w:val="center"/>
            <w:hideMark/>
          </w:tcPr>
          <w:p w:rsidR="0021512D" w:rsidRPr="00A828EC" w:rsidRDefault="0021512D" w:rsidP="00A828EC">
            <w:pPr>
              <w:jc w:val="center"/>
              <w:rPr>
                <w:rFonts w:cs="Arial"/>
                <w:b/>
                <w:sz w:val="14"/>
                <w:szCs w:val="18"/>
              </w:rPr>
            </w:pPr>
            <w:r w:rsidRPr="00A828EC">
              <w:rPr>
                <w:rFonts w:cs="Arial"/>
                <w:b/>
                <w:sz w:val="14"/>
                <w:szCs w:val="18"/>
              </w:rPr>
              <w:t>84,7%</w:t>
            </w:r>
          </w:p>
        </w:tc>
      </w:tr>
      <w:tr w:rsidR="0021512D" w:rsidRPr="00A828EC" w:rsidTr="00A828EC">
        <w:trPr>
          <w:trHeight w:val="187"/>
        </w:trPr>
        <w:tc>
          <w:tcPr>
            <w:tcW w:w="1283" w:type="pct"/>
            <w:tcBorders>
              <w:top w:val="single" w:sz="4" w:space="0" w:color="auto"/>
              <w:left w:val="single" w:sz="4" w:space="0" w:color="auto"/>
              <w:bottom w:val="single" w:sz="4" w:space="0" w:color="auto"/>
              <w:right w:val="single" w:sz="4" w:space="0" w:color="auto"/>
            </w:tcBorders>
            <w:shd w:val="clear" w:color="000000" w:fill="D9D9D9"/>
            <w:vAlign w:val="center"/>
          </w:tcPr>
          <w:p w:rsidR="0021512D" w:rsidRPr="00A828EC" w:rsidRDefault="0021512D" w:rsidP="00F91368">
            <w:pPr>
              <w:spacing w:line="240" w:lineRule="auto"/>
              <w:jc w:val="center"/>
              <w:rPr>
                <w:rFonts w:eastAsia="Times New Roman" w:cs="Arial"/>
                <w:b/>
                <w:bCs/>
                <w:color w:val="000000"/>
                <w:sz w:val="14"/>
                <w:szCs w:val="18"/>
                <w:lang w:val="es-CO" w:eastAsia="es-CO"/>
              </w:rPr>
            </w:pPr>
            <w:r w:rsidRPr="00A828EC">
              <w:rPr>
                <w:rFonts w:eastAsia="Times New Roman" w:cs="Arial"/>
                <w:b/>
                <w:bCs/>
                <w:color w:val="000000"/>
                <w:sz w:val="14"/>
                <w:szCs w:val="18"/>
                <w:lang w:val="es-CO" w:eastAsia="es-CO"/>
              </w:rPr>
              <w:t>INVERSION</w:t>
            </w:r>
          </w:p>
        </w:tc>
        <w:tc>
          <w:tcPr>
            <w:tcW w:w="959" w:type="pct"/>
            <w:tcBorders>
              <w:top w:val="single" w:sz="8" w:space="0" w:color="auto"/>
              <w:left w:val="nil"/>
              <w:bottom w:val="single" w:sz="8" w:space="0" w:color="auto"/>
              <w:right w:val="nil"/>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233.191.972.644</w:t>
            </w:r>
          </w:p>
        </w:tc>
        <w:tc>
          <w:tcPr>
            <w:tcW w:w="1042"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227.455.958.002</w:t>
            </w:r>
          </w:p>
        </w:tc>
        <w:tc>
          <w:tcPr>
            <w:tcW w:w="401" w:type="pct"/>
            <w:tcBorders>
              <w:top w:val="single" w:sz="8" w:space="0" w:color="auto"/>
              <w:left w:val="nil"/>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97,5%</w:t>
            </w:r>
          </w:p>
        </w:tc>
        <w:tc>
          <w:tcPr>
            <w:tcW w:w="882" w:type="pct"/>
            <w:tcBorders>
              <w:top w:val="single" w:sz="8" w:space="0" w:color="auto"/>
              <w:left w:val="nil"/>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218.566.012.565</w:t>
            </w:r>
          </w:p>
        </w:tc>
        <w:tc>
          <w:tcPr>
            <w:tcW w:w="433" w:type="pct"/>
            <w:tcBorders>
              <w:top w:val="single" w:sz="8" w:space="0" w:color="auto"/>
              <w:left w:val="nil"/>
              <w:bottom w:val="single" w:sz="8" w:space="0" w:color="auto"/>
              <w:right w:val="single" w:sz="4" w:space="0" w:color="auto"/>
            </w:tcBorders>
            <w:shd w:val="clear" w:color="000000" w:fill="D9D9D9"/>
            <w:vAlign w:val="center"/>
            <w:hideMark/>
          </w:tcPr>
          <w:p w:rsidR="0021512D" w:rsidRPr="00A828EC" w:rsidRDefault="0021512D" w:rsidP="00A828EC">
            <w:pPr>
              <w:jc w:val="center"/>
              <w:rPr>
                <w:rFonts w:cs="Arial"/>
                <w:b/>
                <w:sz w:val="14"/>
                <w:szCs w:val="18"/>
              </w:rPr>
            </w:pPr>
            <w:r w:rsidRPr="00A828EC">
              <w:rPr>
                <w:rFonts w:cs="Arial"/>
                <w:b/>
                <w:sz w:val="14"/>
                <w:szCs w:val="18"/>
              </w:rPr>
              <w:t>93,7%</w:t>
            </w:r>
          </w:p>
        </w:tc>
      </w:tr>
    </w:tbl>
    <w:p w:rsidR="0021512D" w:rsidRPr="007E3988" w:rsidRDefault="0021512D" w:rsidP="0021512D">
      <w:pPr>
        <w:spacing w:line="240" w:lineRule="auto"/>
        <w:mirrorIndents/>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Pr="00664C45" w:rsidRDefault="0021512D" w:rsidP="0021512D">
      <w:pPr>
        <w:rPr>
          <w:rFonts w:cs="Arial"/>
          <w:sz w:val="18"/>
          <w:lang w:val="es-ES_tradnl"/>
        </w:rPr>
      </w:pPr>
    </w:p>
    <w:p w:rsidR="0021512D" w:rsidRPr="007E3988" w:rsidRDefault="0021512D" w:rsidP="0021512D">
      <w:pPr>
        <w:rPr>
          <w:rFonts w:cs="Arial"/>
          <w:sz w:val="22"/>
          <w:u w:val="single"/>
        </w:rPr>
      </w:pPr>
      <w:r w:rsidRPr="007E3988">
        <w:rPr>
          <w:rFonts w:cs="Arial"/>
          <w:sz w:val="22"/>
          <w:u w:val="single"/>
        </w:rPr>
        <w:t xml:space="preserve">Ejecución del presupuesto de inversión </w:t>
      </w:r>
      <w:r>
        <w:rPr>
          <w:rFonts w:cs="Arial"/>
          <w:sz w:val="22"/>
          <w:u w:val="single"/>
        </w:rPr>
        <w:t>2017</w:t>
      </w:r>
      <w:r w:rsidRPr="007E3988">
        <w:rPr>
          <w:rFonts w:cs="Arial"/>
          <w:sz w:val="22"/>
          <w:u w:val="single"/>
        </w:rPr>
        <w:t xml:space="preserve"> por dependencias</w:t>
      </w:r>
    </w:p>
    <w:p w:rsidR="00664C45" w:rsidRDefault="0021512D" w:rsidP="00664C45">
      <w:pPr>
        <w:spacing w:after="200" w:line="276" w:lineRule="auto"/>
        <w:rPr>
          <w:rFonts w:cs="Arial"/>
          <w:sz w:val="22"/>
        </w:rPr>
      </w:pPr>
      <w:r w:rsidRPr="0021512D">
        <w:rPr>
          <w:rFonts w:cs="Arial"/>
          <w:sz w:val="22"/>
          <w:u w:val="single"/>
        </w:rPr>
        <w:t>Viceministerio de Transporte</w:t>
      </w:r>
      <w:r w:rsidR="00664C45" w:rsidRPr="00664C45">
        <w:rPr>
          <w:rFonts w:cs="Arial"/>
          <w:sz w:val="22"/>
        </w:rPr>
        <w:t xml:space="preserve">: </w:t>
      </w:r>
    </w:p>
    <w:p w:rsidR="0021512D" w:rsidRPr="007E3988" w:rsidRDefault="0021512D" w:rsidP="00664C45">
      <w:pPr>
        <w:spacing w:after="200" w:line="276" w:lineRule="auto"/>
        <w:rPr>
          <w:rFonts w:cs="Arial"/>
          <w:sz w:val="22"/>
        </w:rPr>
      </w:pPr>
      <w:r w:rsidRPr="007E3988">
        <w:rPr>
          <w:rFonts w:cs="Arial"/>
          <w:sz w:val="22"/>
        </w:rPr>
        <w:t>El Viceministerio de Transpor</w:t>
      </w:r>
      <w:r>
        <w:rPr>
          <w:rFonts w:cs="Arial"/>
          <w:sz w:val="22"/>
        </w:rPr>
        <w:t>te tuvo una apropiación de $ 200.484</w:t>
      </w:r>
      <w:r w:rsidRPr="007E3988">
        <w:rPr>
          <w:rFonts w:cs="Arial"/>
          <w:sz w:val="22"/>
        </w:rPr>
        <w:t xml:space="preserve"> millones, de los cu</w:t>
      </w:r>
      <w:r>
        <w:rPr>
          <w:rFonts w:cs="Arial"/>
          <w:sz w:val="22"/>
        </w:rPr>
        <w:t>ales se comprometieron $ 194.904</w:t>
      </w:r>
      <w:r w:rsidRPr="007E3988">
        <w:rPr>
          <w:rFonts w:cs="Arial"/>
          <w:sz w:val="22"/>
        </w:rPr>
        <w:t xml:space="preserve"> m</w:t>
      </w:r>
      <w:r>
        <w:rPr>
          <w:rFonts w:cs="Arial"/>
          <w:sz w:val="22"/>
        </w:rPr>
        <w:t>illones y se obligaron $ 187.660</w:t>
      </w:r>
      <w:r w:rsidRPr="007E3988">
        <w:rPr>
          <w:rFonts w:cs="Arial"/>
          <w:sz w:val="22"/>
        </w:rPr>
        <w:t xml:space="preserve"> millones.</w:t>
      </w:r>
    </w:p>
    <w:p w:rsidR="0021512D" w:rsidRPr="007E3988" w:rsidRDefault="0021512D" w:rsidP="008D2446">
      <w:pPr>
        <w:spacing w:line="240" w:lineRule="auto"/>
        <w:jc w:val="center"/>
        <w:rPr>
          <w:rFonts w:cs="Arial"/>
          <w:sz w:val="22"/>
        </w:rPr>
      </w:pPr>
      <w:r w:rsidRPr="007E3988">
        <w:rPr>
          <w:rFonts w:cs="Arial"/>
          <w:sz w:val="22"/>
        </w:rPr>
        <w:t>Gráfico 4 - Ejecuci</w:t>
      </w:r>
      <w:r>
        <w:rPr>
          <w:rFonts w:cs="Arial"/>
          <w:sz w:val="22"/>
        </w:rPr>
        <w:t>ón presupuesto de inversión 2017</w:t>
      </w:r>
    </w:p>
    <w:p w:rsidR="0021512D" w:rsidRPr="007E3988" w:rsidRDefault="0021512D" w:rsidP="008D2446">
      <w:pPr>
        <w:spacing w:line="240" w:lineRule="auto"/>
        <w:jc w:val="center"/>
        <w:rPr>
          <w:rFonts w:cs="Arial"/>
          <w:sz w:val="22"/>
        </w:rPr>
      </w:pPr>
      <w:r w:rsidRPr="007E3988">
        <w:rPr>
          <w:rFonts w:cs="Arial"/>
          <w:sz w:val="22"/>
        </w:rPr>
        <w:t>Viceministerio de Transporte</w:t>
      </w:r>
    </w:p>
    <w:p w:rsidR="0021512D" w:rsidRPr="007E3988" w:rsidRDefault="0021512D" w:rsidP="0021512D">
      <w:pPr>
        <w:pStyle w:val="Prrafodelista"/>
        <w:jc w:val="center"/>
        <w:rPr>
          <w:rFonts w:cs="Arial"/>
        </w:rPr>
      </w:pPr>
      <w:r w:rsidRPr="008D2446">
        <w:rPr>
          <w:rFonts w:cs="Arial"/>
          <w:noProof/>
          <w:sz w:val="22"/>
          <w:lang w:val="es-CO" w:eastAsia="es-CO"/>
        </w:rPr>
        <w:drawing>
          <wp:inline distT="0" distB="0" distL="0" distR="0" wp14:anchorId="7F96A5EF" wp14:editId="5168C22D">
            <wp:extent cx="3448050" cy="136207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512D" w:rsidRPr="007E3988" w:rsidRDefault="0021512D" w:rsidP="0021512D">
      <w:pPr>
        <w:pStyle w:val="Prrafodelista"/>
        <w:spacing w:line="240" w:lineRule="auto"/>
        <w:ind w:left="0" w:firstLine="1134"/>
        <w:mirrorIndents/>
        <w:jc w:val="left"/>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Pr="007E3988" w:rsidRDefault="0021512D" w:rsidP="0021512D">
      <w:pPr>
        <w:rPr>
          <w:rFonts w:cs="Arial"/>
          <w:sz w:val="22"/>
        </w:rPr>
      </w:pPr>
      <w:r w:rsidRPr="0021512D">
        <w:rPr>
          <w:rFonts w:cs="Arial"/>
          <w:sz w:val="22"/>
          <w:u w:val="single"/>
        </w:rPr>
        <w:lastRenderedPageBreak/>
        <w:t>Viceministerio de Infraestructura</w:t>
      </w:r>
      <w:r w:rsidR="00664C45" w:rsidRPr="00664C45">
        <w:rPr>
          <w:rFonts w:cs="Arial"/>
          <w:sz w:val="22"/>
        </w:rPr>
        <w:t xml:space="preserve">: </w:t>
      </w:r>
      <w:r w:rsidRPr="007E3988">
        <w:rPr>
          <w:rFonts w:cs="Arial"/>
          <w:sz w:val="22"/>
        </w:rPr>
        <w:t xml:space="preserve">El Viceministerio de Infraestructura </w:t>
      </w:r>
      <w:r>
        <w:rPr>
          <w:rFonts w:cs="Arial"/>
          <w:sz w:val="22"/>
        </w:rPr>
        <w:t>tuvo una apropiación de $ 23.008</w:t>
      </w:r>
      <w:r w:rsidRPr="007E3988">
        <w:rPr>
          <w:rFonts w:cs="Arial"/>
          <w:sz w:val="22"/>
        </w:rPr>
        <w:t xml:space="preserve"> millones, de los cu</w:t>
      </w:r>
      <w:r>
        <w:rPr>
          <w:rFonts w:cs="Arial"/>
          <w:sz w:val="22"/>
        </w:rPr>
        <w:t xml:space="preserve">ales se comprometieron $ 22.995 </w:t>
      </w:r>
      <w:r w:rsidRPr="007E3988">
        <w:rPr>
          <w:rFonts w:cs="Arial"/>
          <w:sz w:val="22"/>
        </w:rPr>
        <w:t xml:space="preserve">millones y se obligaron $ </w:t>
      </w:r>
      <w:r>
        <w:rPr>
          <w:rFonts w:cs="Arial"/>
          <w:sz w:val="22"/>
        </w:rPr>
        <w:t>22.841</w:t>
      </w:r>
      <w:r w:rsidRPr="007E3988">
        <w:rPr>
          <w:rFonts w:cs="Arial"/>
          <w:sz w:val="22"/>
        </w:rPr>
        <w:t xml:space="preserve"> millones.</w:t>
      </w:r>
    </w:p>
    <w:p w:rsidR="0021512D" w:rsidRPr="007E3988" w:rsidRDefault="0021512D" w:rsidP="008D2446">
      <w:pPr>
        <w:spacing w:line="240" w:lineRule="auto"/>
        <w:jc w:val="center"/>
        <w:rPr>
          <w:rFonts w:cs="Arial"/>
          <w:sz w:val="22"/>
        </w:rPr>
      </w:pPr>
      <w:r w:rsidRPr="007E3988">
        <w:rPr>
          <w:rFonts w:cs="Arial"/>
          <w:sz w:val="22"/>
        </w:rPr>
        <w:t>Gráfico 5 - Ejecución presupuestal de inv</w:t>
      </w:r>
      <w:r>
        <w:rPr>
          <w:rFonts w:cs="Arial"/>
          <w:sz w:val="22"/>
        </w:rPr>
        <w:t>ersión 2017</w:t>
      </w:r>
    </w:p>
    <w:p w:rsidR="0021512D" w:rsidRPr="007E3988" w:rsidRDefault="0021512D" w:rsidP="008D2446">
      <w:pPr>
        <w:spacing w:line="240" w:lineRule="auto"/>
        <w:jc w:val="center"/>
        <w:rPr>
          <w:rFonts w:cs="Arial"/>
          <w:lang w:val="es-CO"/>
        </w:rPr>
      </w:pPr>
      <w:r w:rsidRPr="007E3988">
        <w:rPr>
          <w:rFonts w:cs="Arial"/>
          <w:sz w:val="22"/>
        </w:rPr>
        <w:t>Viceministerio de Infraestructura</w:t>
      </w:r>
    </w:p>
    <w:p w:rsidR="0021512D" w:rsidRPr="007E3988" w:rsidRDefault="0021512D" w:rsidP="0021512D">
      <w:pPr>
        <w:jc w:val="center"/>
        <w:rPr>
          <w:rFonts w:cs="Arial"/>
        </w:rPr>
      </w:pPr>
      <w:r w:rsidRPr="007E3988">
        <w:rPr>
          <w:rFonts w:cs="Arial"/>
          <w:noProof/>
          <w:lang w:val="es-CO" w:eastAsia="es-CO"/>
        </w:rPr>
        <w:drawing>
          <wp:inline distT="0" distB="0" distL="0" distR="0" wp14:anchorId="3AEE1808" wp14:editId="5B1CC305">
            <wp:extent cx="4181475" cy="17526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512D" w:rsidRPr="007E3988" w:rsidRDefault="0021512D" w:rsidP="0021512D">
      <w:pPr>
        <w:pStyle w:val="Prrafodelista"/>
        <w:spacing w:line="240" w:lineRule="auto"/>
        <w:ind w:left="0" w:firstLine="1134"/>
        <w:mirrorIndents/>
        <w:jc w:val="left"/>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Default="0021512D" w:rsidP="0021512D">
      <w:pPr>
        <w:rPr>
          <w:rFonts w:cs="Arial"/>
          <w:sz w:val="22"/>
        </w:rPr>
      </w:pPr>
    </w:p>
    <w:p w:rsidR="0021512D" w:rsidRPr="007E3988" w:rsidRDefault="0021512D" w:rsidP="0021512D">
      <w:pPr>
        <w:rPr>
          <w:rFonts w:cs="Arial"/>
          <w:sz w:val="22"/>
        </w:rPr>
      </w:pPr>
      <w:r w:rsidRPr="0021512D">
        <w:rPr>
          <w:rFonts w:cs="Arial"/>
          <w:sz w:val="22"/>
          <w:u w:val="single"/>
        </w:rPr>
        <w:t>Secretaría General</w:t>
      </w:r>
      <w:r w:rsidR="00664C45" w:rsidRPr="00664C45">
        <w:rPr>
          <w:rFonts w:cs="Arial"/>
          <w:sz w:val="22"/>
        </w:rPr>
        <w:t xml:space="preserve">: </w:t>
      </w:r>
      <w:r w:rsidRPr="007E3988">
        <w:rPr>
          <w:rFonts w:cs="Arial"/>
          <w:sz w:val="22"/>
        </w:rPr>
        <w:t>La Secretaría General</w:t>
      </w:r>
      <w:r>
        <w:rPr>
          <w:rFonts w:cs="Arial"/>
          <w:sz w:val="22"/>
        </w:rPr>
        <w:t xml:space="preserve"> tuvo una apropiación de $8.600</w:t>
      </w:r>
      <w:r w:rsidRPr="007E3988">
        <w:rPr>
          <w:rFonts w:cs="Arial"/>
          <w:sz w:val="22"/>
        </w:rPr>
        <w:t xml:space="preserve"> millones, de los</w:t>
      </w:r>
      <w:r>
        <w:rPr>
          <w:rFonts w:cs="Arial"/>
          <w:sz w:val="22"/>
        </w:rPr>
        <w:t xml:space="preserve"> cuales se comprometieron $8.510</w:t>
      </w:r>
      <w:r w:rsidRPr="007E3988">
        <w:rPr>
          <w:rFonts w:cs="Arial"/>
          <w:sz w:val="22"/>
        </w:rPr>
        <w:t xml:space="preserve"> m</w:t>
      </w:r>
      <w:r>
        <w:rPr>
          <w:rFonts w:cs="Arial"/>
          <w:sz w:val="22"/>
        </w:rPr>
        <w:t>illones que representan un 98.95% y se obligaron $7.018</w:t>
      </w:r>
      <w:r w:rsidRPr="007E3988">
        <w:rPr>
          <w:rFonts w:cs="Arial"/>
          <w:sz w:val="22"/>
        </w:rPr>
        <w:t xml:space="preserve"> millones </w:t>
      </w:r>
      <w:r>
        <w:rPr>
          <w:rFonts w:cs="Arial"/>
          <w:sz w:val="22"/>
        </w:rPr>
        <w:t>es decir el 81.6</w:t>
      </w:r>
      <w:r w:rsidRPr="007E3988">
        <w:rPr>
          <w:rFonts w:cs="Arial"/>
          <w:sz w:val="22"/>
        </w:rPr>
        <w:t>%.</w:t>
      </w:r>
    </w:p>
    <w:p w:rsidR="00664C45" w:rsidRPr="008D2446" w:rsidRDefault="00664C45" w:rsidP="0021512D">
      <w:pPr>
        <w:spacing w:after="200" w:line="276" w:lineRule="auto"/>
        <w:jc w:val="left"/>
        <w:rPr>
          <w:rFonts w:cs="Arial"/>
          <w:b/>
          <w:sz w:val="6"/>
          <w:szCs w:val="24"/>
        </w:rPr>
      </w:pPr>
    </w:p>
    <w:p w:rsidR="0021512D" w:rsidRPr="007E3988" w:rsidRDefault="0021512D" w:rsidP="008D2446">
      <w:pPr>
        <w:spacing w:line="240" w:lineRule="auto"/>
        <w:jc w:val="center"/>
        <w:rPr>
          <w:rFonts w:cs="Arial"/>
          <w:sz w:val="22"/>
        </w:rPr>
      </w:pPr>
      <w:r w:rsidRPr="007E3988">
        <w:rPr>
          <w:rFonts w:cs="Arial"/>
          <w:sz w:val="22"/>
        </w:rPr>
        <w:t>Gráfico 6 - Ejecució</w:t>
      </w:r>
      <w:r>
        <w:rPr>
          <w:rFonts w:cs="Arial"/>
          <w:sz w:val="22"/>
        </w:rPr>
        <w:t>n presupuestal de inversión 2017</w:t>
      </w:r>
    </w:p>
    <w:p w:rsidR="0021512D" w:rsidRPr="007E3988" w:rsidRDefault="0021512D" w:rsidP="008D2446">
      <w:pPr>
        <w:spacing w:line="240" w:lineRule="auto"/>
        <w:jc w:val="center"/>
        <w:rPr>
          <w:rFonts w:cs="Arial"/>
          <w:sz w:val="22"/>
        </w:rPr>
      </w:pPr>
      <w:r w:rsidRPr="007E3988">
        <w:rPr>
          <w:rFonts w:cs="Arial"/>
          <w:sz w:val="22"/>
        </w:rPr>
        <w:t>Secretaría General</w:t>
      </w:r>
    </w:p>
    <w:p w:rsidR="0021512D" w:rsidRPr="007E3988" w:rsidRDefault="0021512D" w:rsidP="0021512D">
      <w:pPr>
        <w:jc w:val="center"/>
        <w:rPr>
          <w:rFonts w:cs="Arial"/>
          <w:szCs w:val="24"/>
        </w:rPr>
      </w:pPr>
      <w:r w:rsidRPr="007E3988">
        <w:rPr>
          <w:rFonts w:cs="Arial"/>
          <w:noProof/>
          <w:lang w:val="es-CO" w:eastAsia="es-CO"/>
        </w:rPr>
        <w:drawing>
          <wp:inline distT="0" distB="0" distL="0" distR="0" wp14:anchorId="79728808" wp14:editId="39D9865B">
            <wp:extent cx="4238625" cy="180022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512D" w:rsidRPr="007E3988" w:rsidRDefault="0021512D" w:rsidP="0021512D">
      <w:pPr>
        <w:jc w:val="center"/>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Default="0021512D" w:rsidP="0021512D">
      <w:pPr>
        <w:rPr>
          <w:rFonts w:cs="Arial"/>
          <w:sz w:val="22"/>
        </w:rPr>
      </w:pPr>
      <w:r w:rsidRPr="0021512D">
        <w:rPr>
          <w:rFonts w:cs="Arial"/>
          <w:sz w:val="22"/>
          <w:u w:val="single"/>
        </w:rPr>
        <w:t>Oficina Asesora de Planeación</w:t>
      </w:r>
      <w:r w:rsidR="00664C45" w:rsidRPr="00664C45">
        <w:rPr>
          <w:rFonts w:cs="Arial"/>
          <w:sz w:val="22"/>
        </w:rPr>
        <w:t xml:space="preserve">: </w:t>
      </w:r>
      <w:r w:rsidRPr="007E3988">
        <w:rPr>
          <w:rFonts w:cs="Arial"/>
          <w:sz w:val="22"/>
        </w:rPr>
        <w:t>La Oficina Asesora de Planeación</w:t>
      </w:r>
      <w:r>
        <w:rPr>
          <w:rFonts w:cs="Arial"/>
          <w:sz w:val="22"/>
        </w:rPr>
        <w:t xml:space="preserve"> tuvo una apropiación de $ 800</w:t>
      </w:r>
      <w:r w:rsidRPr="007E3988">
        <w:rPr>
          <w:rFonts w:cs="Arial"/>
          <w:sz w:val="22"/>
        </w:rPr>
        <w:t xml:space="preserve"> millones, de los </w:t>
      </w:r>
      <w:r>
        <w:rPr>
          <w:rFonts w:cs="Arial"/>
          <w:sz w:val="22"/>
        </w:rPr>
        <w:t>cuales se comprometieron $ 792</w:t>
      </w:r>
      <w:r w:rsidRPr="007E3988">
        <w:rPr>
          <w:rFonts w:cs="Arial"/>
          <w:sz w:val="22"/>
        </w:rPr>
        <w:t xml:space="preserve"> millones que represe</w:t>
      </w:r>
      <w:r>
        <w:rPr>
          <w:rFonts w:cs="Arial"/>
          <w:sz w:val="22"/>
        </w:rPr>
        <w:t>ntan el 99% y se obligó el 98.88%, que corresponde a</w:t>
      </w:r>
      <w:r w:rsidRPr="007E3988">
        <w:rPr>
          <w:rFonts w:cs="Arial"/>
          <w:sz w:val="22"/>
        </w:rPr>
        <w:t xml:space="preserve"> $</w:t>
      </w:r>
      <w:r>
        <w:rPr>
          <w:rFonts w:cs="Arial"/>
          <w:sz w:val="22"/>
        </w:rPr>
        <w:t>791</w:t>
      </w:r>
      <w:r w:rsidRPr="007E3988">
        <w:rPr>
          <w:rFonts w:cs="Arial"/>
          <w:sz w:val="22"/>
        </w:rPr>
        <w:t xml:space="preserve"> m</w:t>
      </w:r>
      <w:r>
        <w:rPr>
          <w:rFonts w:cs="Arial"/>
          <w:sz w:val="22"/>
        </w:rPr>
        <w:t>illones</w:t>
      </w:r>
      <w:r w:rsidRPr="007E3988">
        <w:rPr>
          <w:rFonts w:cs="Arial"/>
          <w:sz w:val="22"/>
        </w:rPr>
        <w:t>.</w:t>
      </w:r>
    </w:p>
    <w:p w:rsidR="0021512D" w:rsidRDefault="0021512D" w:rsidP="0021512D">
      <w:pPr>
        <w:rPr>
          <w:rFonts w:cs="Arial"/>
          <w:sz w:val="12"/>
        </w:rPr>
      </w:pPr>
    </w:p>
    <w:p w:rsidR="008D2446" w:rsidRDefault="008D2446" w:rsidP="0021512D">
      <w:pPr>
        <w:rPr>
          <w:rFonts w:cs="Arial"/>
          <w:sz w:val="12"/>
        </w:rPr>
      </w:pPr>
    </w:p>
    <w:p w:rsidR="008D2446" w:rsidRPr="00664C45" w:rsidRDefault="008D2446" w:rsidP="0021512D">
      <w:pPr>
        <w:rPr>
          <w:rFonts w:cs="Arial"/>
          <w:sz w:val="12"/>
        </w:rPr>
      </w:pPr>
    </w:p>
    <w:p w:rsidR="0021512D" w:rsidRPr="007E3988" w:rsidRDefault="0021512D" w:rsidP="008D2446">
      <w:pPr>
        <w:spacing w:line="240" w:lineRule="auto"/>
        <w:jc w:val="center"/>
        <w:rPr>
          <w:rFonts w:cs="Arial"/>
          <w:sz w:val="22"/>
        </w:rPr>
      </w:pPr>
      <w:r w:rsidRPr="007E3988">
        <w:rPr>
          <w:rFonts w:cs="Arial"/>
          <w:sz w:val="22"/>
        </w:rPr>
        <w:lastRenderedPageBreak/>
        <w:t>Gráfico 7 - Ejecució</w:t>
      </w:r>
      <w:r>
        <w:rPr>
          <w:rFonts w:cs="Arial"/>
          <w:sz w:val="22"/>
        </w:rPr>
        <w:t>n presupuestal de inversión 2017</w:t>
      </w:r>
    </w:p>
    <w:p w:rsidR="0021512D" w:rsidRPr="007E3988" w:rsidRDefault="0021512D" w:rsidP="008D2446">
      <w:pPr>
        <w:spacing w:line="240" w:lineRule="auto"/>
        <w:jc w:val="center"/>
        <w:rPr>
          <w:rFonts w:cs="Arial"/>
          <w:sz w:val="22"/>
        </w:rPr>
      </w:pPr>
      <w:r w:rsidRPr="007E3988">
        <w:rPr>
          <w:rFonts w:cs="Arial"/>
          <w:sz w:val="22"/>
        </w:rPr>
        <w:t>Oficina Asesora de Planeación</w:t>
      </w:r>
    </w:p>
    <w:p w:rsidR="0021512D" w:rsidRPr="007E3988" w:rsidRDefault="0021512D" w:rsidP="0021512D">
      <w:pPr>
        <w:jc w:val="center"/>
        <w:rPr>
          <w:rFonts w:cs="Arial"/>
          <w:szCs w:val="24"/>
        </w:rPr>
      </w:pPr>
      <w:r w:rsidRPr="007E3988">
        <w:rPr>
          <w:rFonts w:cs="Arial"/>
          <w:noProof/>
          <w:lang w:val="es-CO" w:eastAsia="es-CO"/>
        </w:rPr>
        <w:drawing>
          <wp:inline distT="0" distB="0" distL="0" distR="0" wp14:anchorId="690416D1" wp14:editId="5CEC2DE2">
            <wp:extent cx="4162425" cy="159067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512D" w:rsidRPr="007E3988" w:rsidRDefault="0021512D" w:rsidP="0021512D">
      <w:pPr>
        <w:jc w:val="center"/>
        <w:rPr>
          <w:rFonts w:cs="Arial"/>
          <w:sz w:val="16"/>
          <w:szCs w:val="16"/>
          <w:lang w:val="es-ES_tradnl"/>
        </w:rPr>
      </w:pPr>
      <w:r w:rsidRPr="007E3988">
        <w:rPr>
          <w:rFonts w:cs="Arial"/>
          <w:sz w:val="16"/>
          <w:szCs w:val="16"/>
          <w:lang w:val="es-ES_tradnl"/>
        </w:rPr>
        <w:t>Fuente: MHCP - Elaboración: Oficina Asesora de Planeación- Ministerio de Transporte</w:t>
      </w:r>
    </w:p>
    <w:p w:rsidR="0021512D" w:rsidRPr="00664C45" w:rsidRDefault="0021512D" w:rsidP="0021512D">
      <w:pPr>
        <w:rPr>
          <w:rFonts w:cs="Arial"/>
          <w:sz w:val="16"/>
        </w:rPr>
      </w:pPr>
    </w:p>
    <w:p w:rsidR="0021512D" w:rsidRPr="007E3988" w:rsidRDefault="0021512D" w:rsidP="0021512D">
      <w:pPr>
        <w:rPr>
          <w:rFonts w:cs="Arial"/>
          <w:sz w:val="22"/>
        </w:rPr>
      </w:pPr>
      <w:r w:rsidRPr="0021512D">
        <w:rPr>
          <w:rFonts w:cs="Arial"/>
          <w:sz w:val="22"/>
          <w:u w:val="single"/>
        </w:rPr>
        <w:t>Oficina de Regulación Económica</w:t>
      </w:r>
      <w:r w:rsidR="00664C45" w:rsidRPr="00664C45">
        <w:rPr>
          <w:rFonts w:cs="Arial"/>
          <w:sz w:val="22"/>
        </w:rPr>
        <w:t xml:space="preserve">: </w:t>
      </w:r>
      <w:r w:rsidRPr="007E3988">
        <w:rPr>
          <w:rFonts w:cs="Arial"/>
          <w:sz w:val="22"/>
        </w:rPr>
        <w:t>La Oficina de Regulación Económi</w:t>
      </w:r>
      <w:r>
        <w:rPr>
          <w:rFonts w:cs="Arial"/>
          <w:sz w:val="22"/>
        </w:rPr>
        <w:t>ca tuvo una apropiación de $300</w:t>
      </w:r>
      <w:r w:rsidRPr="007E3988">
        <w:rPr>
          <w:rFonts w:cs="Arial"/>
          <w:sz w:val="22"/>
        </w:rPr>
        <w:t xml:space="preserve"> millones, de lo</w:t>
      </w:r>
      <w:r>
        <w:rPr>
          <w:rFonts w:cs="Arial"/>
          <w:sz w:val="22"/>
        </w:rPr>
        <w:t>s cuales se comprometieron $ 254</w:t>
      </w:r>
      <w:r w:rsidRPr="007E3988">
        <w:rPr>
          <w:rFonts w:cs="Arial"/>
          <w:sz w:val="22"/>
        </w:rPr>
        <w:t xml:space="preserve"> millone</w:t>
      </w:r>
      <w:r>
        <w:rPr>
          <w:rFonts w:cs="Arial"/>
          <w:sz w:val="22"/>
        </w:rPr>
        <w:t>s y se obligó el mismo valor, alcanzando una ejecución sobre compromisos y obligaciones del 85%</w:t>
      </w:r>
    </w:p>
    <w:p w:rsidR="0021512D" w:rsidRPr="00664C45" w:rsidRDefault="0021512D" w:rsidP="0021512D">
      <w:pPr>
        <w:rPr>
          <w:rFonts w:cs="Arial"/>
          <w:sz w:val="14"/>
        </w:rPr>
      </w:pPr>
    </w:p>
    <w:p w:rsidR="0021512D" w:rsidRPr="007E3988" w:rsidRDefault="0021512D" w:rsidP="008D2446">
      <w:pPr>
        <w:spacing w:line="240" w:lineRule="auto"/>
        <w:jc w:val="center"/>
        <w:rPr>
          <w:rFonts w:cs="Arial"/>
          <w:sz w:val="22"/>
        </w:rPr>
      </w:pPr>
      <w:r w:rsidRPr="007E3988">
        <w:rPr>
          <w:rFonts w:cs="Arial"/>
          <w:sz w:val="22"/>
        </w:rPr>
        <w:t>Gráfico 8 - Ejecució</w:t>
      </w:r>
      <w:r>
        <w:rPr>
          <w:rFonts w:cs="Arial"/>
          <w:sz w:val="22"/>
        </w:rPr>
        <w:t>n presupuestal de inversión 2017</w:t>
      </w:r>
    </w:p>
    <w:p w:rsidR="0021512D" w:rsidRPr="007E3988" w:rsidRDefault="0021512D" w:rsidP="008D2446">
      <w:pPr>
        <w:spacing w:line="240" w:lineRule="auto"/>
        <w:jc w:val="center"/>
        <w:rPr>
          <w:rFonts w:cs="Arial"/>
          <w:sz w:val="22"/>
        </w:rPr>
      </w:pPr>
      <w:r w:rsidRPr="007E3988">
        <w:rPr>
          <w:rFonts w:cs="Arial"/>
          <w:sz w:val="22"/>
        </w:rPr>
        <w:t>Oficina de Regulación Económica</w:t>
      </w:r>
    </w:p>
    <w:p w:rsidR="0021512D" w:rsidRPr="007E3988" w:rsidRDefault="0021512D" w:rsidP="0021512D">
      <w:pPr>
        <w:jc w:val="center"/>
        <w:rPr>
          <w:rFonts w:cs="Arial"/>
          <w:lang w:val="es-ES_tradnl"/>
        </w:rPr>
      </w:pPr>
      <w:r w:rsidRPr="007E3988">
        <w:rPr>
          <w:rFonts w:cs="Arial"/>
          <w:noProof/>
          <w:lang w:val="es-CO" w:eastAsia="es-CO"/>
        </w:rPr>
        <w:drawing>
          <wp:inline distT="0" distB="0" distL="0" distR="0" wp14:anchorId="6BA92EC2" wp14:editId="5473CBC0">
            <wp:extent cx="4171950" cy="17907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430C" w:rsidRPr="00664C45" w:rsidRDefault="0021512D" w:rsidP="00664C45">
      <w:pPr>
        <w:jc w:val="center"/>
        <w:rPr>
          <w:rFonts w:cs="Arial"/>
          <w:sz w:val="16"/>
          <w:szCs w:val="16"/>
          <w:lang w:val="es-ES_tradnl"/>
        </w:rPr>
      </w:pPr>
      <w:r w:rsidRPr="007E3988">
        <w:rPr>
          <w:rFonts w:cs="Arial"/>
          <w:sz w:val="16"/>
          <w:szCs w:val="16"/>
          <w:lang w:val="es-ES_tradnl"/>
        </w:rPr>
        <w:t>Fuente: MHCP - Elaboración: Oficina Asesora de Planeación- Ministerio de Transporte</w:t>
      </w:r>
    </w:p>
    <w:p w:rsidR="007012D2" w:rsidRDefault="007012D2">
      <w:pPr>
        <w:spacing w:after="200" w:line="276" w:lineRule="auto"/>
        <w:jc w:val="left"/>
        <w:rPr>
          <w:rFonts w:cs="Arial"/>
          <w:sz w:val="20"/>
          <w:szCs w:val="20"/>
          <w:lang w:val="es-ES_tradnl"/>
        </w:rPr>
      </w:pPr>
      <w:r>
        <w:rPr>
          <w:rFonts w:cs="Arial"/>
          <w:sz w:val="20"/>
          <w:szCs w:val="20"/>
          <w:lang w:val="es-ES_tradnl"/>
        </w:rPr>
        <w:br w:type="page"/>
      </w:r>
    </w:p>
    <w:p w:rsidR="000D46F9" w:rsidRPr="00E112A9" w:rsidRDefault="005E0205" w:rsidP="003D44B7">
      <w:pPr>
        <w:pStyle w:val="Ttulo1"/>
      </w:pPr>
      <w:bookmarkStart w:id="10" w:name="_Toc329391700"/>
      <w:bookmarkStart w:id="11" w:name="_Toc329391861"/>
      <w:bookmarkStart w:id="12" w:name="_Toc329391935"/>
      <w:bookmarkStart w:id="13" w:name="_Toc329392042"/>
      <w:bookmarkStart w:id="14" w:name="_Toc329392138"/>
      <w:bookmarkStart w:id="15" w:name="_Toc327269191"/>
      <w:bookmarkStart w:id="16" w:name="_Toc328173229"/>
      <w:bookmarkStart w:id="17" w:name="_Toc328173290"/>
      <w:bookmarkStart w:id="18" w:name="_Toc328239625"/>
      <w:bookmarkStart w:id="19" w:name="_Toc328545526"/>
      <w:bookmarkStart w:id="20" w:name="_Toc329102916"/>
      <w:bookmarkStart w:id="21" w:name="_Toc329115289"/>
      <w:bookmarkStart w:id="22" w:name="_Toc329391703"/>
      <w:bookmarkStart w:id="23" w:name="_Toc329391864"/>
      <w:bookmarkStart w:id="24" w:name="_Toc329391938"/>
      <w:bookmarkStart w:id="25" w:name="_Toc329392045"/>
      <w:bookmarkStart w:id="26" w:name="_Toc329392141"/>
      <w:bookmarkStart w:id="27" w:name="_Toc388535295"/>
      <w:bookmarkStart w:id="28" w:name="_Toc388547430"/>
      <w:bookmarkStart w:id="29" w:name="_Toc388636143"/>
      <w:bookmarkStart w:id="30" w:name="_Toc388636397"/>
      <w:bookmarkStart w:id="31" w:name="_Toc50500347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112A9">
        <w:lastRenderedPageBreak/>
        <w:t>DESARROLLO INSTITUCIONAL EN EL SECTOR TRANSPORTE</w:t>
      </w:r>
      <w:bookmarkEnd w:id="31"/>
    </w:p>
    <w:p w:rsidR="007E3988" w:rsidRPr="00664C45" w:rsidRDefault="007E3988" w:rsidP="00664C45">
      <w:pPr>
        <w:rPr>
          <w:rFonts w:cs="Arial"/>
          <w:sz w:val="22"/>
        </w:rPr>
      </w:pPr>
    </w:p>
    <w:p w:rsidR="00084452" w:rsidRPr="00084452" w:rsidRDefault="00084452" w:rsidP="00084452">
      <w:pPr>
        <w:widowControl w:val="0"/>
        <w:suppressAutoHyphens/>
        <w:autoSpaceDN w:val="0"/>
        <w:textAlignment w:val="baseline"/>
        <w:rPr>
          <w:rFonts w:cs="Arial"/>
          <w:sz w:val="22"/>
        </w:rPr>
      </w:pPr>
      <w:r w:rsidRPr="00084452">
        <w:rPr>
          <w:rFonts w:cs="Arial"/>
          <w:sz w:val="22"/>
        </w:rPr>
        <w:t>El Ministerio de Transporte atendiendo las necesidades de fortalecimiento institucional, está desarrollando la puesta en marcha de las entidades adscritas al Ministerio de Transporte:</w:t>
      </w:r>
      <w:r w:rsidR="00576E08">
        <w:rPr>
          <w:rFonts w:cs="Arial"/>
          <w:sz w:val="22"/>
        </w:rPr>
        <w:t xml:space="preserve"> </w:t>
      </w:r>
      <w:r w:rsidRPr="00084452">
        <w:rPr>
          <w:rFonts w:cs="Arial"/>
          <w:sz w:val="22"/>
        </w:rPr>
        <w:t>Unidad de Planeación de Infraestructura de Transporte – UPIT</w:t>
      </w:r>
      <w:r w:rsidR="00576E08">
        <w:rPr>
          <w:rFonts w:cs="Arial"/>
          <w:sz w:val="22"/>
        </w:rPr>
        <w:t xml:space="preserve">, </w:t>
      </w:r>
      <w:r w:rsidRPr="00084452">
        <w:rPr>
          <w:rFonts w:cs="Arial"/>
          <w:sz w:val="22"/>
        </w:rPr>
        <w:t>Comisión de Regulación de Infraestructura y Transporte – CRIT</w:t>
      </w:r>
    </w:p>
    <w:p w:rsidR="00084452" w:rsidRPr="00576E08" w:rsidRDefault="00084452" w:rsidP="00084452">
      <w:pPr>
        <w:widowControl w:val="0"/>
        <w:suppressAutoHyphens/>
        <w:autoSpaceDN w:val="0"/>
        <w:textAlignment w:val="baseline"/>
        <w:rPr>
          <w:rFonts w:cs="Arial"/>
          <w:sz w:val="16"/>
        </w:rPr>
      </w:pPr>
    </w:p>
    <w:p w:rsidR="00084452" w:rsidRPr="00084452" w:rsidRDefault="00084452" w:rsidP="00442CAC">
      <w:pPr>
        <w:pStyle w:val="Prrafodelista"/>
        <w:widowControl w:val="0"/>
        <w:numPr>
          <w:ilvl w:val="0"/>
          <w:numId w:val="14"/>
        </w:numPr>
        <w:suppressAutoHyphens/>
        <w:autoSpaceDN w:val="0"/>
        <w:textAlignment w:val="baseline"/>
        <w:rPr>
          <w:rFonts w:cs="Arial"/>
          <w:sz w:val="22"/>
        </w:rPr>
      </w:pPr>
      <w:r w:rsidRPr="00084452">
        <w:rPr>
          <w:rFonts w:cs="Arial"/>
          <w:sz w:val="22"/>
        </w:rPr>
        <w:t>La Ley 1682 del 22-11-2013 (por la cual se adoptan medidas y disposiciones para los proyectos de infraestructura de transporte) otorgó facultades extraordinarias al Presidente de la República para la creación de estas entidades.</w:t>
      </w:r>
    </w:p>
    <w:p w:rsidR="00084452" w:rsidRPr="00084452" w:rsidRDefault="00084452" w:rsidP="00442CAC">
      <w:pPr>
        <w:pStyle w:val="Prrafodelista"/>
        <w:widowControl w:val="0"/>
        <w:numPr>
          <w:ilvl w:val="0"/>
          <w:numId w:val="14"/>
        </w:numPr>
        <w:suppressAutoHyphens/>
        <w:autoSpaceDN w:val="0"/>
        <w:textAlignment w:val="baseline"/>
        <w:rPr>
          <w:rFonts w:cs="Arial"/>
          <w:sz w:val="22"/>
        </w:rPr>
      </w:pPr>
      <w:r w:rsidRPr="00084452">
        <w:rPr>
          <w:rFonts w:cs="Arial"/>
          <w:sz w:val="22"/>
        </w:rPr>
        <w:t xml:space="preserve">El Decreto 946 de 2014, creó la Unidad de Planeación de Infraestructura de Transporte y determinó su estructura y funciones. </w:t>
      </w:r>
    </w:p>
    <w:p w:rsidR="00084452" w:rsidRPr="00084452" w:rsidRDefault="00084452" w:rsidP="00442CAC">
      <w:pPr>
        <w:pStyle w:val="Prrafodelista"/>
        <w:widowControl w:val="0"/>
        <w:numPr>
          <w:ilvl w:val="0"/>
          <w:numId w:val="14"/>
        </w:numPr>
        <w:suppressAutoHyphens/>
        <w:autoSpaceDN w:val="0"/>
        <w:textAlignment w:val="baseline"/>
        <w:rPr>
          <w:rFonts w:cs="Arial"/>
          <w:sz w:val="22"/>
        </w:rPr>
      </w:pPr>
      <w:r w:rsidRPr="00084452">
        <w:rPr>
          <w:rFonts w:cs="Arial"/>
          <w:sz w:val="22"/>
        </w:rPr>
        <w:t>El Decreto 947 2014, creó la Comisión de Regulación de Infraestructura y Transporte y estableció su estructura.</w:t>
      </w:r>
    </w:p>
    <w:p w:rsidR="00084452" w:rsidRPr="00084452" w:rsidRDefault="00084452" w:rsidP="00442CAC">
      <w:pPr>
        <w:pStyle w:val="Prrafodelista"/>
        <w:widowControl w:val="0"/>
        <w:numPr>
          <w:ilvl w:val="0"/>
          <w:numId w:val="14"/>
        </w:numPr>
        <w:suppressAutoHyphens/>
        <w:autoSpaceDN w:val="0"/>
        <w:textAlignment w:val="baseline"/>
        <w:rPr>
          <w:rFonts w:cs="Arial"/>
          <w:sz w:val="22"/>
        </w:rPr>
      </w:pPr>
      <w:r w:rsidRPr="00084452">
        <w:rPr>
          <w:rFonts w:cs="Arial"/>
          <w:sz w:val="22"/>
        </w:rPr>
        <w:t>Se realizó una reunión con la Presidencia de la República para socializar los estudios técnicos de las entidades. Se otorgó el aval para la creación de las entidades por parte de la Función Pública, del Ministerio de Hacienda y se remite a Presidencia de la República.</w:t>
      </w:r>
    </w:p>
    <w:p w:rsidR="00084452" w:rsidRPr="00084452" w:rsidRDefault="00084452" w:rsidP="00442CAC">
      <w:pPr>
        <w:pStyle w:val="Prrafodelista"/>
        <w:widowControl w:val="0"/>
        <w:numPr>
          <w:ilvl w:val="0"/>
          <w:numId w:val="14"/>
        </w:numPr>
        <w:suppressAutoHyphens/>
        <w:autoSpaceDN w:val="0"/>
        <w:textAlignment w:val="baseline"/>
        <w:rPr>
          <w:rFonts w:cs="Arial"/>
          <w:sz w:val="22"/>
        </w:rPr>
      </w:pPr>
      <w:r w:rsidRPr="00084452">
        <w:rPr>
          <w:rFonts w:cs="Arial"/>
          <w:sz w:val="22"/>
        </w:rPr>
        <w:t>Presidencia solicita se ajusten los decretos de las plantas de personal de las dos entidades.</w:t>
      </w:r>
    </w:p>
    <w:p w:rsidR="00084452" w:rsidRPr="00084452" w:rsidRDefault="00084452" w:rsidP="00442CAC">
      <w:pPr>
        <w:pStyle w:val="Prrafodelista"/>
        <w:widowControl w:val="0"/>
        <w:numPr>
          <w:ilvl w:val="0"/>
          <w:numId w:val="14"/>
        </w:numPr>
        <w:suppressAutoHyphens/>
        <w:autoSpaceDN w:val="0"/>
        <w:textAlignment w:val="baseline"/>
        <w:rPr>
          <w:rFonts w:cs="Arial"/>
          <w:sz w:val="22"/>
        </w:rPr>
      </w:pPr>
      <w:r w:rsidRPr="00084452">
        <w:rPr>
          <w:rFonts w:cs="Arial"/>
          <w:sz w:val="22"/>
        </w:rPr>
        <w:t>Se está en la elaboración y estructuración del informe y los proyectos de decretos de las plantas de personal de las entidades adscritas al Ministerio de Transporte por parte del Ministerio de Transporte y Función Pública.</w:t>
      </w:r>
    </w:p>
    <w:p w:rsidR="00084452" w:rsidRPr="00576E08" w:rsidRDefault="00084452" w:rsidP="00576E08">
      <w:pPr>
        <w:widowControl w:val="0"/>
        <w:suppressAutoHyphens/>
        <w:autoSpaceDN w:val="0"/>
        <w:textAlignment w:val="baseline"/>
        <w:rPr>
          <w:rFonts w:cs="Arial"/>
          <w:sz w:val="18"/>
        </w:rPr>
      </w:pPr>
    </w:p>
    <w:p w:rsidR="00084452" w:rsidRPr="00084452" w:rsidRDefault="00084452" w:rsidP="00084452">
      <w:pPr>
        <w:widowControl w:val="0"/>
        <w:suppressAutoHyphens/>
        <w:autoSpaceDN w:val="0"/>
        <w:textAlignment w:val="baseline"/>
        <w:rPr>
          <w:rFonts w:cs="Arial"/>
          <w:b/>
          <w:sz w:val="22"/>
        </w:rPr>
      </w:pPr>
      <w:r w:rsidRPr="00084452">
        <w:rPr>
          <w:rFonts w:cs="Arial"/>
          <w:b/>
          <w:sz w:val="22"/>
        </w:rPr>
        <w:t>Próximos pasos</w:t>
      </w:r>
    </w:p>
    <w:p w:rsidR="00084452" w:rsidRPr="00084452" w:rsidRDefault="00084452" w:rsidP="00442CAC">
      <w:pPr>
        <w:pStyle w:val="Prrafodelista"/>
        <w:widowControl w:val="0"/>
        <w:numPr>
          <w:ilvl w:val="0"/>
          <w:numId w:val="15"/>
        </w:numPr>
        <w:suppressAutoHyphens/>
        <w:autoSpaceDN w:val="0"/>
        <w:textAlignment w:val="baseline"/>
        <w:rPr>
          <w:rFonts w:cs="Arial"/>
          <w:sz w:val="22"/>
        </w:rPr>
      </w:pPr>
      <w:r w:rsidRPr="00084452">
        <w:rPr>
          <w:rFonts w:cs="Arial"/>
          <w:sz w:val="22"/>
        </w:rPr>
        <w:t>Nombrar la planta de personal de la Unidad de Planeación de Infraestructura de Transporte -UPIT- y de la Comisión de Regulación de Infraestructura y Transporte -CRIT-, con base en los recursos aprobados en el Presupuesto General de la Nación para 2018.</w:t>
      </w:r>
    </w:p>
    <w:p w:rsidR="007012D2" w:rsidRPr="00576E08" w:rsidRDefault="00084452" w:rsidP="00576E08">
      <w:pPr>
        <w:pStyle w:val="Prrafodelista"/>
        <w:widowControl w:val="0"/>
        <w:numPr>
          <w:ilvl w:val="0"/>
          <w:numId w:val="15"/>
        </w:numPr>
        <w:suppressAutoHyphens/>
        <w:autoSpaceDN w:val="0"/>
        <w:spacing w:after="200" w:line="276" w:lineRule="auto"/>
        <w:jc w:val="left"/>
        <w:textAlignment w:val="baseline"/>
        <w:rPr>
          <w:rFonts w:cs="Arial"/>
          <w:sz w:val="22"/>
        </w:rPr>
      </w:pPr>
      <w:r w:rsidRPr="00576E08">
        <w:rPr>
          <w:rFonts w:cs="Arial"/>
          <w:sz w:val="22"/>
        </w:rPr>
        <w:t xml:space="preserve">Lograr que se incluya en el Presupuesto General de la Nación del año 2018, los recursos suficientes para que las entidades puedan vincular la totalidad de la planta de personal y empiecen a operar al tope de su capacidad. </w:t>
      </w:r>
      <w:r w:rsidR="007012D2" w:rsidRPr="00576E08">
        <w:rPr>
          <w:rFonts w:cs="Arial"/>
          <w:sz w:val="22"/>
        </w:rPr>
        <w:br w:type="page"/>
      </w:r>
    </w:p>
    <w:p w:rsidR="005E0205" w:rsidRPr="007012D2" w:rsidRDefault="005E0205" w:rsidP="003D44B7">
      <w:pPr>
        <w:pStyle w:val="Ttulo1"/>
      </w:pPr>
      <w:bookmarkStart w:id="32" w:name="_Toc505003479"/>
      <w:r w:rsidRPr="007012D2">
        <w:lastRenderedPageBreak/>
        <w:t>INFRAESTRUCTURA COMPETITIVA E INTEGRADORA</w:t>
      </w:r>
      <w:bookmarkEnd w:id="32"/>
    </w:p>
    <w:p w:rsidR="005E25C7" w:rsidRPr="00476E39" w:rsidRDefault="005E25C7" w:rsidP="005E25C7">
      <w:pPr>
        <w:pStyle w:val="Prrafodelista"/>
        <w:ind w:left="0"/>
        <w:rPr>
          <w:rFonts w:cs="Arial"/>
          <w:sz w:val="12"/>
        </w:rPr>
      </w:pPr>
    </w:p>
    <w:p w:rsidR="000D46F9" w:rsidRDefault="00CC773F" w:rsidP="003D44B7">
      <w:pPr>
        <w:pStyle w:val="Ttulo2"/>
        <w:numPr>
          <w:ilvl w:val="1"/>
          <w:numId w:val="87"/>
        </w:numPr>
      </w:pPr>
      <w:bookmarkStart w:id="33" w:name="_Toc505003480"/>
      <w:r w:rsidRPr="007012D2">
        <w:t>P</w:t>
      </w:r>
      <w:r w:rsidR="005E25C7" w:rsidRPr="007012D2">
        <w:t>olítica pública de infraestructura</w:t>
      </w:r>
      <w:bookmarkEnd w:id="33"/>
    </w:p>
    <w:p w:rsidR="000D46F9" w:rsidRPr="00476E39" w:rsidRDefault="000D46F9" w:rsidP="000D46F9">
      <w:pPr>
        <w:pStyle w:val="Prrafodelista"/>
        <w:ind w:left="0"/>
        <w:rPr>
          <w:rFonts w:cs="Arial"/>
          <w:sz w:val="12"/>
        </w:rPr>
      </w:pPr>
    </w:p>
    <w:p w:rsidR="000D46F9" w:rsidRPr="007012D2" w:rsidRDefault="000D46F9" w:rsidP="00D0323D">
      <w:pPr>
        <w:pStyle w:val="Prrafodelista"/>
        <w:ind w:left="0"/>
        <w:rPr>
          <w:rFonts w:cs="Arial"/>
          <w:sz w:val="22"/>
        </w:rPr>
      </w:pPr>
      <w:r w:rsidRPr="007012D2">
        <w:rPr>
          <w:rFonts w:cs="Arial"/>
          <w:sz w:val="22"/>
          <w:u w:val="single"/>
        </w:rPr>
        <w:t>Plan Maestro de Transporte Intermodal</w:t>
      </w:r>
      <w:r w:rsidR="00E112A9" w:rsidRPr="007012D2">
        <w:rPr>
          <w:rFonts w:cs="Arial"/>
          <w:sz w:val="22"/>
          <w:u w:val="single"/>
        </w:rPr>
        <w:t>:</w:t>
      </w:r>
      <w:r w:rsidR="00E112A9" w:rsidRPr="007012D2">
        <w:rPr>
          <w:rFonts w:cs="Arial"/>
          <w:sz w:val="22"/>
        </w:rPr>
        <w:t xml:space="preserve"> </w:t>
      </w:r>
    </w:p>
    <w:p w:rsidR="00084452" w:rsidRPr="007012D2" w:rsidRDefault="00084452" w:rsidP="00442CAC">
      <w:pPr>
        <w:pStyle w:val="Prrafodelista"/>
        <w:numPr>
          <w:ilvl w:val="0"/>
          <w:numId w:val="16"/>
        </w:numPr>
        <w:rPr>
          <w:rFonts w:cs="Arial"/>
          <w:sz w:val="22"/>
        </w:rPr>
      </w:pPr>
      <w:r w:rsidRPr="007012D2">
        <w:rPr>
          <w:rFonts w:cs="Arial"/>
          <w:sz w:val="22"/>
        </w:rPr>
        <w:t>A partir de la priorización preliminar de los proyectos de la red férrea, fluvial, aeronáutica, portuaria, y la red básica y de integración carretera, que suma más de 200 proyectos, se priorizaron 65 proyectos a través de Análisis Costo Beneficio, con un monto superior a 49,5 billones (COP 2015).</w:t>
      </w:r>
    </w:p>
    <w:p w:rsidR="00084452" w:rsidRPr="007012D2" w:rsidRDefault="00084452" w:rsidP="00442CAC">
      <w:pPr>
        <w:pStyle w:val="Prrafodelista"/>
        <w:numPr>
          <w:ilvl w:val="0"/>
          <w:numId w:val="16"/>
        </w:numPr>
        <w:rPr>
          <w:rFonts w:cs="Arial"/>
          <w:sz w:val="22"/>
        </w:rPr>
      </w:pPr>
      <w:r w:rsidRPr="007012D2">
        <w:rPr>
          <w:rFonts w:cs="Arial"/>
          <w:sz w:val="22"/>
        </w:rPr>
        <w:t>Se definió el marco institucional para la operación de seis corredores logísticos intermodales, incluyendo los planes de acción que contienen intervenciones en la provisión de infraestructura y de servicios logísticos, facilitación del comercio exterior y normatividad logística.</w:t>
      </w:r>
    </w:p>
    <w:p w:rsidR="00084452" w:rsidRPr="007012D2" w:rsidRDefault="00084452" w:rsidP="00442CAC">
      <w:pPr>
        <w:pStyle w:val="Prrafodelista"/>
        <w:numPr>
          <w:ilvl w:val="0"/>
          <w:numId w:val="16"/>
        </w:numPr>
        <w:rPr>
          <w:rFonts w:cs="Arial"/>
          <w:sz w:val="22"/>
        </w:rPr>
      </w:pPr>
      <w:r w:rsidRPr="007012D2">
        <w:rPr>
          <w:rFonts w:cs="Arial"/>
          <w:sz w:val="22"/>
        </w:rPr>
        <w:t>Se propusieron alternativas para mejorar los accesos y pasos urbanos en 14 aglomeraciones urbanas, que involucró la visita a las ciudades y diálogo con las principales autoridades para escuchar sus diagnósticos y propuestas de posibles intervenciones que mejoren condiciones de accesibilidad</w:t>
      </w:r>
    </w:p>
    <w:p w:rsidR="00084452" w:rsidRPr="007012D2" w:rsidRDefault="00084452" w:rsidP="00442CAC">
      <w:pPr>
        <w:pStyle w:val="Prrafodelista"/>
        <w:numPr>
          <w:ilvl w:val="0"/>
          <w:numId w:val="16"/>
        </w:numPr>
        <w:rPr>
          <w:rFonts w:cs="Arial"/>
          <w:sz w:val="22"/>
        </w:rPr>
      </w:pPr>
      <w:r w:rsidRPr="007012D2">
        <w:rPr>
          <w:rFonts w:cs="Arial"/>
          <w:sz w:val="22"/>
        </w:rPr>
        <w:t>Se revisó y propuso un nuevo marco regulatorio para el impulso de la intermodalidad y de la multimodalidad, así como la materialización de infraestructuras logísticas especializadas</w:t>
      </w:r>
    </w:p>
    <w:p w:rsidR="00084452" w:rsidRPr="007012D2" w:rsidRDefault="00084452" w:rsidP="00442CAC">
      <w:pPr>
        <w:pStyle w:val="Prrafodelista"/>
        <w:numPr>
          <w:ilvl w:val="0"/>
          <w:numId w:val="16"/>
        </w:numPr>
        <w:rPr>
          <w:rFonts w:cs="Arial"/>
          <w:sz w:val="22"/>
        </w:rPr>
      </w:pPr>
      <w:r w:rsidRPr="007012D2">
        <w:rPr>
          <w:rFonts w:cs="Arial"/>
          <w:sz w:val="22"/>
        </w:rPr>
        <w:t>Se analizaron diferentes fuentes alternativas de financiación de proyectos de infraestructura de transporte, con el fin de evaluar la replicabilidad en Colombia</w:t>
      </w:r>
    </w:p>
    <w:p w:rsidR="00084452" w:rsidRPr="007012D2" w:rsidRDefault="00084452" w:rsidP="00442CAC">
      <w:pPr>
        <w:pStyle w:val="Prrafodelista"/>
        <w:numPr>
          <w:ilvl w:val="0"/>
          <w:numId w:val="16"/>
        </w:numPr>
        <w:rPr>
          <w:rFonts w:cs="Arial"/>
          <w:sz w:val="22"/>
        </w:rPr>
      </w:pPr>
      <w:r w:rsidRPr="007012D2">
        <w:rPr>
          <w:rFonts w:cs="Arial"/>
          <w:sz w:val="22"/>
        </w:rPr>
        <w:t>Se realizó la estimación de un modelo de accesibilidad para los proyectos de integración, con el fin de determinar los efectos sobre la calidad de vida de los habitantes.</w:t>
      </w:r>
    </w:p>
    <w:p w:rsidR="00084452" w:rsidRPr="007012D2" w:rsidRDefault="00084452" w:rsidP="00442CAC">
      <w:pPr>
        <w:pStyle w:val="Prrafodelista"/>
        <w:numPr>
          <w:ilvl w:val="0"/>
          <w:numId w:val="16"/>
        </w:numPr>
        <w:rPr>
          <w:rFonts w:cs="Arial"/>
          <w:sz w:val="22"/>
        </w:rPr>
      </w:pPr>
      <w:r w:rsidRPr="007012D2">
        <w:rPr>
          <w:rFonts w:cs="Arial"/>
          <w:sz w:val="22"/>
        </w:rPr>
        <w:t>Se caracterizó la población en las zonas de influencia de los proyectos, para determinar indicadores que resalten la población beneficiaria.</w:t>
      </w:r>
    </w:p>
    <w:p w:rsidR="00084452" w:rsidRPr="007012D2" w:rsidRDefault="00084452" w:rsidP="00442CAC">
      <w:pPr>
        <w:pStyle w:val="Prrafodelista"/>
        <w:numPr>
          <w:ilvl w:val="0"/>
          <w:numId w:val="16"/>
        </w:numPr>
        <w:rPr>
          <w:rFonts w:cs="Arial"/>
          <w:sz w:val="22"/>
        </w:rPr>
      </w:pPr>
      <w:r w:rsidRPr="007012D2">
        <w:rPr>
          <w:rFonts w:cs="Arial"/>
          <w:sz w:val="22"/>
        </w:rPr>
        <w:t>Se compartió con agremiaciones e inversionistas el portafolio de proyectos del Plan Maestro de Transporte Intermodal -PMTI- con el propósito de atraer inversión local y extranjera.</w:t>
      </w:r>
    </w:p>
    <w:p w:rsidR="00476E39" w:rsidRPr="00476E39" w:rsidRDefault="00476E39" w:rsidP="00084452">
      <w:pPr>
        <w:rPr>
          <w:rFonts w:cs="Arial"/>
          <w:sz w:val="22"/>
        </w:rPr>
      </w:pPr>
    </w:p>
    <w:p w:rsidR="00476E39" w:rsidRDefault="00476E39" w:rsidP="00084452">
      <w:pPr>
        <w:rPr>
          <w:rFonts w:cs="Arial"/>
          <w:b/>
          <w:sz w:val="22"/>
        </w:rPr>
      </w:pPr>
    </w:p>
    <w:p w:rsidR="00476E39" w:rsidRDefault="00476E39" w:rsidP="00084452">
      <w:pPr>
        <w:rPr>
          <w:rFonts w:cs="Arial"/>
          <w:b/>
          <w:sz w:val="22"/>
        </w:rPr>
      </w:pPr>
    </w:p>
    <w:p w:rsidR="00084452" w:rsidRPr="007012D2" w:rsidRDefault="00084452" w:rsidP="00084452">
      <w:pPr>
        <w:rPr>
          <w:rFonts w:cs="Arial"/>
          <w:b/>
          <w:sz w:val="22"/>
        </w:rPr>
      </w:pPr>
      <w:r w:rsidRPr="007012D2">
        <w:rPr>
          <w:rFonts w:cs="Arial"/>
          <w:b/>
          <w:sz w:val="22"/>
        </w:rPr>
        <w:lastRenderedPageBreak/>
        <w:t>Próximos pasos</w:t>
      </w:r>
    </w:p>
    <w:p w:rsidR="00084452" w:rsidRPr="007012D2" w:rsidRDefault="00084452" w:rsidP="00442CAC">
      <w:pPr>
        <w:pStyle w:val="Prrafodelista"/>
        <w:numPr>
          <w:ilvl w:val="0"/>
          <w:numId w:val="17"/>
        </w:numPr>
        <w:rPr>
          <w:rFonts w:cs="Arial"/>
          <w:sz w:val="22"/>
        </w:rPr>
      </w:pPr>
      <w:r w:rsidRPr="007012D2">
        <w:rPr>
          <w:rFonts w:cs="Arial"/>
          <w:sz w:val="22"/>
        </w:rPr>
        <w:t>Reglamentar y formular la política pública de Contribución Nacional de Valorización de acuerdo con las disposiciones de la Reforma Tributaria (Ley 1819 de 2016) en la materia</w:t>
      </w:r>
    </w:p>
    <w:p w:rsidR="00084452" w:rsidRPr="007012D2" w:rsidRDefault="00084452" w:rsidP="00442CAC">
      <w:pPr>
        <w:pStyle w:val="Prrafodelista"/>
        <w:numPr>
          <w:ilvl w:val="0"/>
          <w:numId w:val="17"/>
        </w:numPr>
        <w:rPr>
          <w:rFonts w:cs="Arial"/>
          <w:sz w:val="22"/>
        </w:rPr>
      </w:pPr>
      <w:r w:rsidRPr="007012D2">
        <w:rPr>
          <w:rFonts w:cs="Arial"/>
          <w:sz w:val="22"/>
        </w:rPr>
        <w:t>Formular una política pública de accesos y pasos urbanos, que permita articular intervenciones en las cuales participan diferentes escalas de gobierno</w:t>
      </w:r>
    </w:p>
    <w:p w:rsidR="00084452" w:rsidRPr="007012D2" w:rsidRDefault="00084452" w:rsidP="00442CAC">
      <w:pPr>
        <w:pStyle w:val="Prrafodelista"/>
        <w:numPr>
          <w:ilvl w:val="0"/>
          <w:numId w:val="17"/>
        </w:numPr>
        <w:rPr>
          <w:rFonts w:cs="Arial"/>
          <w:sz w:val="22"/>
        </w:rPr>
      </w:pPr>
      <w:r w:rsidRPr="007012D2">
        <w:rPr>
          <w:rFonts w:cs="Arial"/>
          <w:sz w:val="22"/>
        </w:rPr>
        <w:t xml:space="preserve">Poner en marcha los planes de acción de los corredores logísticos para su consolidación </w:t>
      </w:r>
    </w:p>
    <w:p w:rsidR="00084452" w:rsidRPr="007012D2" w:rsidRDefault="00084452" w:rsidP="00442CAC">
      <w:pPr>
        <w:pStyle w:val="Prrafodelista"/>
        <w:numPr>
          <w:ilvl w:val="0"/>
          <w:numId w:val="17"/>
        </w:numPr>
        <w:rPr>
          <w:rFonts w:cs="Arial"/>
          <w:sz w:val="22"/>
        </w:rPr>
      </w:pPr>
      <w:r w:rsidRPr="007012D2">
        <w:rPr>
          <w:rFonts w:cs="Arial"/>
          <w:sz w:val="22"/>
        </w:rPr>
        <w:t>Explorar nuevas fuentes de financiación para proyectos de infraestructura de transporte como el valor residual de las concesiones</w:t>
      </w:r>
    </w:p>
    <w:p w:rsidR="000D46F9" w:rsidRPr="007012D2" w:rsidRDefault="000D46F9" w:rsidP="000D46F9">
      <w:pPr>
        <w:pStyle w:val="Prrafodelista"/>
        <w:ind w:left="0"/>
        <w:rPr>
          <w:rFonts w:cs="Arial"/>
          <w:sz w:val="22"/>
          <w:u w:val="single"/>
        </w:rPr>
      </w:pPr>
    </w:p>
    <w:p w:rsidR="0096089B" w:rsidRPr="007012D2" w:rsidRDefault="000D46F9" w:rsidP="0096089B">
      <w:pPr>
        <w:tabs>
          <w:tab w:val="left" w:pos="2431"/>
        </w:tabs>
        <w:rPr>
          <w:rFonts w:cs="Arial"/>
          <w:sz w:val="22"/>
        </w:rPr>
      </w:pPr>
      <w:r w:rsidRPr="007012D2">
        <w:rPr>
          <w:rFonts w:cs="Arial"/>
          <w:sz w:val="22"/>
          <w:u w:val="single"/>
        </w:rPr>
        <w:t>Plan Maestro Fluvial:</w:t>
      </w:r>
    </w:p>
    <w:p w:rsidR="00084452" w:rsidRPr="007012D2" w:rsidRDefault="00084452" w:rsidP="00442CAC">
      <w:pPr>
        <w:pStyle w:val="Prrafodelista"/>
        <w:numPr>
          <w:ilvl w:val="0"/>
          <w:numId w:val="18"/>
        </w:numPr>
        <w:rPr>
          <w:rFonts w:cs="Arial"/>
          <w:sz w:val="22"/>
        </w:rPr>
      </w:pPr>
      <w:r w:rsidRPr="007012D2">
        <w:rPr>
          <w:rFonts w:cs="Arial"/>
          <w:sz w:val="22"/>
        </w:rPr>
        <w:t>Elaboración del documento Plan Maestro Fluvial y avanza la elaboración de  la Resolución por medio de la cual se expide el reglamento para la solicitud de autorización de construcción de obras en las riberas de los ríos o dentro de su cauce y la autorización para la construcción de obras en las riberas de las vías fluviales o dentro de su cauce, para facilitar la ejecución de obras en vías fluviales, las cuales ayudarán a  mejorar las condiciones de seguridad de los navegantes y habitantes o comunidades ribereñas de las vías fluviales del país.</w:t>
      </w:r>
    </w:p>
    <w:p w:rsidR="00084452" w:rsidRPr="007012D2" w:rsidRDefault="00084452" w:rsidP="00442CAC">
      <w:pPr>
        <w:pStyle w:val="Prrafodelista"/>
        <w:numPr>
          <w:ilvl w:val="0"/>
          <w:numId w:val="18"/>
        </w:numPr>
        <w:rPr>
          <w:rFonts w:cs="Arial"/>
          <w:sz w:val="22"/>
        </w:rPr>
      </w:pPr>
      <w:r w:rsidRPr="007012D2">
        <w:rPr>
          <w:rFonts w:cs="Arial"/>
          <w:sz w:val="22"/>
        </w:rPr>
        <w:t>En conjunto con el Gobierno de Holanda y el Departamento Nacional de Planeación – DNP, se formuló el Plan Maestro Fluvial de Colombia, con el que se busca fortalecer el modo fluvial y facilitar su conectividad intermodal para el transporte de carga y pasajeros, integrando grandes territorios de vocación fluvial con el resto del país y su proyección internacional, inicialmente en los ríos Putumayo y el Orinoco.</w:t>
      </w:r>
    </w:p>
    <w:p w:rsidR="00084452" w:rsidRPr="007012D2" w:rsidRDefault="00084452" w:rsidP="00442CAC">
      <w:pPr>
        <w:pStyle w:val="Prrafodelista"/>
        <w:numPr>
          <w:ilvl w:val="0"/>
          <w:numId w:val="18"/>
        </w:numPr>
        <w:rPr>
          <w:rFonts w:cs="Arial"/>
          <w:sz w:val="22"/>
        </w:rPr>
      </w:pPr>
      <w:r w:rsidRPr="007012D2">
        <w:rPr>
          <w:rFonts w:cs="Arial"/>
          <w:sz w:val="22"/>
        </w:rPr>
        <w:t>Elaboración de las estrategias de institucionalidad y normativas para la implementación</w:t>
      </w:r>
    </w:p>
    <w:p w:rsidR="00084452" w:rsidRPr="007012D2" w:rsidRDefault="00084452" w:rsidP="00442CAC">
      <w:pPr>
        <w:pStyle w:val="Prrafodelista"/>
        <w:numPr>
          <w:ilvl w:val="0"/>
          <w:numId w:val="18"/>
        </w:numPr>
        <w:rPr>
          <w:rFonts w:cs="Arial"/>
          <w:sz w:val="22"/>
        </w:rPr>
      </w:pPr>
      <w:r w:rsidRPr="007012D2">
        <w:rPr>
          <w:rFonts w:cs="Arial"/>
          <w:sz w:val="22"/>
        </w:rPr>
        <w:t>Definición de una batería de 13 proyectos distribuidos en ríos y vías de interconexión terrestre, con una inversión por el orden de U$2.400 millones en un plazo de 20 años</w:t>
      </w:r>
    </w:p>
    <w:p w:rsidR="00084452" w:rsidRPr="007012D2" w:rsidRDefault="00084452" w:rsidP="00442CAC">
      <w:pPr>
        <w:pStyle w:val="Prrafodelista"/>
        <w:numPr>
          <w:ilvl w:val="0"/>
          <w:numId w:val="18"/>
        </w:numPr>
        <w:rPr>
          <w:rFonts w:cs="Arial"/>
          <w:sz w:val="22"/>
        </w:rPr>
      </w:pPr>
      <w:r w:rsidRPr="007012D2">
        <w:rPr>
          <w:rFonts w:cs="Arial"/>
          <w:sz w:val="22"/>
        </w:rPr>
        <w:t>Definición de los planes pilotos en formación y capacitación a niveles operativos, funcionarios y administrativos en materia fluvial</w:t>
      </w:r>
    </w:p>
    <w:p w:rsidR="00084452" w:rsidRPr="007012D2" w:rsidRDefault="00084452" w:rsidP="00442CAC">
      <w:pPr>
        <w:pStyle w:val="Prrafodelista"/>
        <w:numPr>
          <w:ilvl w:val="0"/>
          <w:numId w:val="18"/>
        </w:numPr>
        <w:rPr>
          <w:rFonts w:cs="Arial"/>
          <w:sz w:val="22"/>
        </w:rPr>
      </w:pPr>
      <w:r w:rsidRPr="007012D2">
        <w:rPr>
          <w:rFonts w:cs="Arial"/>
          <w:sz w:val="22"/>
        </w:rPr>
        <w:t>Estrategias para incentivar el modo fluvial mediante mejoramiento de la eficiencia en rendimiento de motores y la reducción de los costos de transporte fluvial.</w:t>
      </w:r>
    </w:p>
    <w:p w:rsidR="00084452" w:rsidRPr="007012D2" w:rsidRDefault="00084452" w:rsidP="00442CAC">
      <w:pPr>
        <w:pStyle w:val="Prrafodelista"/>
        <w:numPr>
          <w:ilvl w:val="0"/>
          <w:numId w:val="18"/>
        </w:numPr>
        <w:rPr>
          <w:rFonts w:cs="Arial"/>
          <w:sz w:val="22"/>
        </w:rPr>
      </w:pPr>
      <w:r w:rsidRPr="007012D2">
        <w:rPr>
          <w:rFonts w:cs="Arial"/>
          <w:sz w:val="22"/>
        </w:rPr>
        <w:t xml:space="preserve">Socializaciones del PLAN MAESTRO FLUVIAL DE COLOMBIA en Leticia y Puerto Carreño, corredor fluvial Putumayo – Amazonas y Puerto Carreño – Puerto Gaitana, corredor ríos Meta - Orinoco, donde se dio a conocer este plan a empresas de transporte </w:t>
      </w:r>
      <w:r w:rsidRPr="007012D2">
        <w:rPr>
          <w:rFonts w:cs="Arial"/>
          <w:sz w:val="22"/>
        </w:rPr>
        <w:lastRenderedPageBreak/>
        <w:t>fluvial y algunas autoridades territoriales, buscando mecanismos para su implementación</w:t>
      </w:r>
    </w:p>
    <w:p w:rsidR="00084452" w:rsidRPr="007012D2" w:rsidRDefault="00084452" w:rsidP="00442CAC">
      <w:pPr>
        <w:pStyle w:val="Prrafodelista"/>
        <w:numPr>
          <w:ilvl w:val="0"/>
          <w:numId w:val="18"/>
        </w:numPr>
        <w:rPr>
          <w:rFonts w:cs="Arial"/>
          <w:sz w:val="22"/>
        </w:rPr>
      </w:pPr>
      <w:r w:rsidRPr="007012D2">
        <w:rPr>
          <w:rFonts w:cs="Arial"/>
          <w:sz w:val="22"/>
        </w:rPr>
        <w:t>Avanza gestión de un crédito con el Banco Mundial para el proyecto de mejoramiento de la navegabilidad en los esteros del Pacífico Colombiano, el cual propone la construcción de 5 muelles.</w:t>
      </w:r>
    </w:p>
    <w:p w:rsidR="00084452" w:rsidRPr="007012D2" w:rsidRDefault="00084452" w:rsidP="00442CAC">
      <w:pPr>
        <w:pStyle w:val="Prrafodelista"/>
        <w:numPr>
          <w:ilvl w:val="0"/>
          <w:numId w:val="18"/>
        </w:numPr>
        <w:rPr>
          <w:rFonts w:cs="Arial"/>
          <w:sz w:val="22"/>
        </w:rPr>
      </w:pPr>
      <w:r w:rsidRPr="007012D2">
        <w:rPr>
          <w:rFonts w:cs="Arial"/>
          <w:sz w:val="22"/>
        </w:rPr>
        <w:t>Con INVIAS se avanza en la elaboración de estudios para el mejoramiento de la navegabilidad en el río Putumayo.</w:t>
      </w:r>
    </w:p>
    <w:p w:rsidR="00084452" w:rsidRPr="00CB3A02" w:rsidRDefault="00084452" w:rsidP="00084452">
      <w:pPr>
        <w:rPr>
          <w:rFonts w:cs="Arial"/>
          <w:sz w:val="16"/>
        </w:rPr>
      </w:pPr>
    </w:p>
    <w:p w:rsidR="00084452" w:rsidRPr="007012D2" w:rsidRDefault="00084452" w:rsidP="00084452">
      <w:pPr>
        <w:rPr>
          <w:rFonts w:cs="Arial"/>
          <w:b/>
          <w:sz w:val="22"/>
        </w:rPr>
      </w:pPr>
      <w:r w:rsidRPr="007012D2">
        <w:rPr>
          <w:rFonts w:cs="Arial"/>
          <w:b/>
          <w:sz w:val="22"/>
        </w:rPr>
        <w:t>Próximos Pasos</w:t>
      </w:r>
    </w:p>
    <w:p w:rsidR="00084452" w:rsidRPr="007012D2" w:rsidRDefault="00084452" w:rsidP="00442CAC">
      <w:pPr>
        <w:pStyle w:val="Prrafodelista"/>
        <w:numPr>
          <w:ilvl w:val="0"/>
          <w:numId w:val="19"/>
        </w:numPr>
        <w:rPr>
          <w:rFonts w:cs="Arial"/>
          <w:sz w:val="22"/>
        </w:rPr>
      </w:pPr>
      <w:r w:rsidRPr="007012D2">
        <w:rPr>
          <w:rFonts w:cs="Arial"/>
          <w:sz w:val="22"/>
        </w:rPr>
        <w:t>Definir la estrategia de implementación de la norma y completar la socialización con los actores públicos y privados</w:t>
      </w:r>
    </w:p>
    <w:p w:rsidR="00084452" w:rsidRPr="007012D2" w:rsidRDefault="00084452" w:rsidP="00442CAC">
      <w:pPr>
        <w:pStyle w:val="Prrafodelista"/>
        <w:numPr>
          <w:ilvl w:val="0"/>
          <w:numId w:val="19"/>
        </w:numPr>
        <w:rPr>
          <w:rFonts w:cs="Arial"/>
          <w:sz w:val="22"/>
        </w:rPr>
      </w:pPr>
      <w:r w:rsidRPr="007012D2">
        <w:rPr>
          <w:rFonts w:cs="Arial"/>
          <w:sz w:val="22"/>
        </w:rPr>
        <w:t>Socialización de los resultados del plan con los actores y búsqueda de alternativas para reducir los costos de transporte en la navegación menor, especialmente la social.</w:t>
      </w:r>
    </w:p>
    <w:p w:rsidR="0096089B" w:rsidRPr="007012D2" w:rsidRDefault="0096089B" w:rsidP="0096089B">
      <w:pPr>
        <w:pStyle w:val="Prrafodelista"/>
        <w:ind w:left="0"/>
        <w:rPr>
          <w:rFonts w:cs="Arial"/>
          <w:sz w:val="22"/>
        </w:rPr>
      </w:pPr>
    </w:p>
    <w:p w:rsidR="0096089B" w:rsidRPr="007012D2" w:rsidRDefault="00F640D3" w:rsidP="00F640D3">
      <w:pPr>
        <w:keepNext/>
        <w:keepLines/>
        <w:widowControl w:val="0"/>
        <w:suppressAutoHyphens/>
        <w:autoSpaceDN w:val="0"/>
        <w:textAlignment w:val="baseline"/>
        <w:outlineLvl w:val="3"/>
        <w:rPr>
          <w:rFonts w:cs="Arial"/>
          <w:sz w:val="22"/>
        </w:rPr>
      </w:pPr>
      <w:r w:rsidRPr="007012D2">
        <w:rPr>
          <w:rFonts w:cs="Arial"/>
          <w:sz w:val="22"/>
          <w:u w:val="single"/>
        </w:rPr>
        <w:t xml:space="preserve">Master Plan </w:t>
      </w:r>
      <w:r w:rsidR="0096089B" w:rsidRPr="007012D2">
        <w:rPr>
          <w:rFonts w:cs="Arial"/>
          <w:sz w:val="22"/>
          <w:u w:val="single"/>
        </w:rPr>
        <w:t>de Buenaventura</w:t>
      </w:r>
      <w:r w:rsidRPr="007012D2">
        <w:rPr>
          <w:rFonts w:cs="Arial"/>
          <w:sz w:val="22"/>
          <w:u w:val="single"/>
        </w:rPr>
        <w:t>:</w:t>
      </w:r>
    </w:p>
    <w:p w:rsidR="00F640D3" w:rsidRPr="007012D2" w:rsidRDefault="00F640D3" w:rsidP="001B08CC">
      <w:pPr>
        <w:tabs>
          <w:tab w:val="left" w:pos="2431"/>
        </w:tabs>
        <w:rPr>
          <w:rFonts w:cs="Arial"/>
          <w:sz w:val="22"/>
          <w:u w:val="single"/>
        </w:rPr>
      </w:pPr>
      <w:r w:rsidRPr="007012D2">
        <w:rPr>
          <w:rFonts w:cs="Calibri"/>
          <w:sz w:val="22"/>
        </w:rPr>
        <w:t>Participación con el Departamento Nacional de Planeación en la redacción del estudio que permitirá la formulación Master Plan de Buenaventura, el cual ha sido ejecutado conjuntamente entre el consultor coreano DY y el consultor colombiano INCOPLAN, dentro del marco de lo establecido en el Memorando de Entendimiento firmado por el Ministro de Transporte de la República de Colombia y el Ministro de Océanos y Pesca de la República de Corea del Sur, en diciembre de 2014.</w:t>
      </w:r>
    </w:p>
    <w:p w:rsidR="00F640D3" w:rsidRPr="007012D2" w:rsidRDefault="00F640D3" w:rsidP="001B08CC">
      <w:pPr>
        <w:tabs>
          <w:tab w:val="left" w:pos="2431"/>
        </w:tabs>
        <w:rPr>
          <w:rFonts w:cs="Arial"/>
          <w:sz w:val="22"/>
          <w:u w:val="single"/>
        </w:rPr>
      </w:pPr>
    </w:p>
    <w:p w:rsidR="00F640D3" w:rsidRPr="007012D2" w:rsidRDefault="000D46F9" w:rsidP="00F640D3">
      <w:pPr>
        <w:pStyle w:val="Prrafodelista"/>
        <w:ind w:left="0"/>
        <w:rPr>
          <w:rFonts w:cs="Arial"/>
          <w:sz w:val="22"/>
        </w:rPr>
      </w:pPr>
      <w:r w:rsidRPr="007012D2">
        <w:rPr>
          <w:rFonts w:cs="Arial"/>
          <w:sz w:val="22"/>
          <w:u w:val="single"/>
        </w:rPr>
        <w:t xml:space="preserve">Plan </w:t>
      </w:r>
      <w:r w:rsidR="00F640D3" w:rsidRPr="007012D2">
        <w:rPr>
          <w:rFonts w:cs="Arial"/>
          <w:sz w:val="22"/>
          <w:u w:val="single"/>
        </w:rPr>
        <w:t>Nacional</w:t>
      </w:r>
      <w:r w:rsidRPr="007012D2">
        <w:rPr>
          <w:rFonts w:cs="Arial"/>
          <w:sz w:val="22"/>
          <w:u w:val="single"/>
        </w:rPr>
        <w:t xml:space="preserve"> de Dragados:</w:t>
      </w:r>
      <w:r w:rsidRPr="007012D2">
        <w:rPr>
          <w:rFonts w:cs="Arial"/>
          <w:sz w:val="22"/>
        </w:rPr>
        <w:t xml:space="preserve"> </w:t>
      </w:r>
    </w:p>
    <w:p w:rsidR="00F640D3" w:rsidRPr="007012D2" w:rsidRDefault="00F640D3" w:rsidP="00F640D3">
      <w:pPr>
        <w:rPr>
          <w:rFonts w:cs="Arial"/>
          <w:sz w:val="22"/>
        </w:rPr>
      </w:pPr>
      <w:r w:rsidRPr="007012D2">
        <w:rPr>
          <w:rFonts w:cs="Calibri"/>
          <w:sz w:val="22"/>
        </w:rPr>
        <w:t>Participación en el Comité Directivo de la consultoría para la formulación del Plan Nacional de Dragados Marítimos de Colombia, desarrollado por las firmas Arcadis Nederland BV (Países Bajos) y JESyCA S.A.S. (Colombia), para el Departamento Nacional de Planeación de Colombia (DNP) y la Agencia Empresarial de los Países Bajos (RVO), dentro del marco del convenio de Cooperación Técnica No. 652 de 2015, firmado entre los gobiernos del Reino de Países Bajos y Colombia. El producto final de la consultoría se recibe el 1° de diciembre de 2017, el cual servirá de base para la redacción y formulación del Plan Nacional de Dragados Marítimos en Colombia.</w:t>
      </w:r>
    </w:p>
    <w:p w:rsidR="00F640D3" w:rsidRPr="007012D2" w:rsidRDefault="00F640D3" w:rsidP="00F640D3">
      <w:pPr>
        <w:rPr>
          <w:rFonts w:cs="Arial"/>
          <w:sz w:val="22"/>
        </w:rPr>
      </w:pPr>
    </w:p>
    <w:p w:rsidR="00F640D3" w:rsidRPr="007012D2" w:rsidRDefault="00F640D3" w:rsidP="00F640D3">
      <w:pPr>
        <w:rPr>
          <w:rFonts w:cs="Arial"/>
          <w:b/>
          <w:sz w:val="22"/>
        </w:rPr>
      </w:pPr>
      <w:r w:rsidRPr="007012D2">
        <w:rPr>
          <w:rFonts w:cs="Arial"/>
          <w:b/>
          <w:sz w:val="22"/>
        </w:rPr>
        <w:lastRenderedPageBreak/>
        <w:t>Próximos Pasos</w:t>
      </w:r>
    </w:p>
    <w:p w:rsidR="00F640D3" w:rsidRPr="007012D2" w:rsidRDefault="00F640D3" w:rsidP="00442CAC">
      <w:pPr>
        <w:pStyle w:val="Prrafodelista"/>
        <w:numPr>
          <w:ilvl w:val="0"/>
          <w:numId w:val="20"/>
        </w:numPr>
        <w:rPr>
          <w:rFonts w:cs="Arial"/>
          <w:sz w:val="22"/>
        </w:rPr>
      </w:pPr>
      <w:r w:rsidRPr="007012D2">
        <w:rPr>
          <w:rFonts w:cs="Arial"/>
          <w:sz w:val="22"/>
        </w:rPr>
        <w:t>Conformar el equipo de trabajo para la redacción y formulación del documento “Plan Nacional de Dragados marítimos en Colombia – Política Pública”</w:t>
      </w:r>
    </w:p>
    <w:p w:rsidR="00F640D3" w:rsidRPr="007012D2" w:rsidRDefault="00F640D3" w:rsidP="00442CAC">
      <w:pPr>
        <w:pStyle w:val="Prrafodelista"/>
        <w:numPr>
          <w:ilvl w:val="0"/>
          <w:numId w:val="20"/>
        </w:numPr>
        <w:rPr>
          <w:rFonts w:cs="Arial"/>
          <w:sz w:val="22"/>
        </w:rPr>
      </w:pPr>
      <w:r w:rsidRPr="007012D2">
        <w:rPr>
          <w:rFonts w:cs="Arial"/>
          <w:sz w:val="22"/>
        </w:rPr>
        <w:t>Implementación de la norma</w:t>
      </w:r>
    </w:p>
    <w:p w:rsidR="00DB4B45" w:rsidRPr="00CB3A02" w:rsidRDefault="00DB4B45" w:rsidP="00F640D3">
      <w:pPr>
        <w:rPr>
          <w:rFonts w:cs="Arial"/>
          <w:sz w:val="16"/>
        </w:rPr>
      </w:pPr>
    </w:p>
    <w:p w:rsidR="005E741D" w:rsidRPr="007012D2" w:rsidRDefault="005E741D" w:rsidP="00F640D3">
      <w:pPr>
        <w:rPr>
          <w:rFonts w:cs="Arial"/>
          <w:sz w:val="22"/>
          <w:u w:val="single"/>
        </w:rPr>
      </w:pPr>
      <w:r w:rsidRPr="007012D2">
        <w:rPr>
          <w:rFonts w:cs="Arial"/>
          <w:sz w:val="22"/>
          <w:u w:val="single"/>
        </w:rPr>
        <w:t>Plan de Expansión Portuaria:</w:t>
      </w:r>
    </w:p>
    <w:p w:rsidR="00F640D3" w:rsidRPr="007012D2" w:rsidRDefault="005E741D" w:rsidP="00F640D3">
      <w:pPr>
        <w:rPr>
          <w:rFonts w:cs="Calibri"/>
          <w:sz w:val="22"/>
        </w:rPr>
      </w:pPr>
      <w:r w:rsidRPr="007012D2">
        <w:rPr>
          <w:rFonts w:cs="Calibri"/>
          <w:sz w:val="22"/>
        </w:rPr>
        <w:t>Elaboración de un borrador de propuesta de Plan de Expansión Portuaria, en el que se hace seguimiento a las recomendaciones realizadas en el documento CONPES 3744 de 2013 “Política portuaria para un país más moderno”, y se presenta un plan de acción en el cual se propone: ajustes metodológicos para el cálculo de la contraprestación portuaria, el fortalecimiento institucional del Ministerio de Transporte y del sector portuario, entre otros aspectos. Este borrador actualmente se encuentra en socialización y ajuste en mesas de trabajo realizadas con entidades y usuarios del sector.</w:t>
      </w:r>
    </w:p>
    <w:p w:rsidR="005E741D" w:rsidRPr="00CB3A02" w:rsidRDefault="005E741D" w:rsidP="00F640D3">
      <w:pPr>
        <w:rPr>
          <w:rFonts w:cs="Calibri"/>
          <w:sz w:val="14"/>
        </w:rPr>
      </w:pPr>
    </w:p>
    <w:p w:rsidR="005E741D" w:rsidRPr="007012D2" w:rsidRDefault="005E741D" w:rsidP="005E741D">
      <w:pPr>
        <w:rPr>
          <w:rFonts w:cs="Arial"/>
          <w:b/>
          <w:sz w:val="22"/>
        </w:rPr>
      </w:pPr>
      <w:r w:rsidRPr="007012D2">
        <w:rPr>
          <w:rFonts w:cs="Arial"/>
          <w:b/>
          <w:sz w:val="22"/>
        </w:rPr>
        <w:t>Próximos Pasos</w:t>
      </w:r>
    </w:p>
    <w:p w:rsidR="005E741D" w:rsidRPr="007012D2" w:rsidRDefault="005E741D" w:rsidP="00442CAC">
      <w:pPr>
        <w:pStyle w:val="Prrafodelista"/>
        <w:numPr>
          <w:ilvl w:val="0"/>
          <w:numId w:val="21"/>
        </w:numPr>
        <w:rPr>
          <w:rFonts w:cs="Arial"/>
          <w:sz w:val="22"/>
        </w:rPr>
      </w:pPr>
      <w:r w:rsidRPr="007012D2">
        <w:rPr>
          <w:rFonts w:cs="Arial"/>
          <w:sz w:val="22"/>
        </w:rPr>
        <w:t>Realizar los ajustes pertinentes que se acuerden en las mesas de trabajo.</w:t>
      </w:r>
    </w:p>
    <w:p w:rsidR="005E741D" w:rsidRPr="007012D2" w:rsidRDefault="005E741D" w:rsidP="00442CAC">
      <w:pPr>
        <w:pStyle w:val="Prrafodelista"/>
        <w:numPr>
          <w:ilvl w:val="0"/>
          <w:numId w:val="21"/>
        </w:numPr>
        <w:rPr>
          <w:rFonts w:cs="Arial"/>
          <w:sz w:val="22"/>
        </w:rPr>
      </w:pPr>
      <w:r w:rsidRPr="007012D2">
        <w:rPr>
          <w:rFonts w:cs="Arial"/>
          <w:sz w:val="22"/>
        </w:rPr>
        <w:t xml:space="preserve">Redactar la versión final de la propuesta de Plan de Expansión Portuaria, que deberá ser remitida al DNP como Secretaría Técnica del CONPES por parte del Ministro de Transporte para su trámite respectivo. </w:t>
      </w:r>
    </w:p>
    <w:p w:rsidR="005E741D" w:rsidRPr="007012D2" w:rsidRDefault="005E741D" w:rsidP="00442CAC">
      <w:pPr>
        <w:pStyle w:val="Prrafodelista"/>
        <w:numPr>
          <w:ilvl w:val="0"/>
          <w:numId w:val="21"/>
        </w:numPr>
        <w:rPr>
          <w:rFonts w:cs="Arial"/>
          <w:sz w:val="22"/>
        </w:rPr>
      </w:pPr>
      <w:r w:rsidRPr="007012D2">
        <w:rPr>
          <w:rFonts w:cs="Arial"/>
          <w:sz w:val="22"/>
        </w:rPr>
        <w:t>Coordinación interinstitucional entre el Ministerio de Transporte, el Departamento Nacional de Planeación, los Ministerios de Comercio y Ambiente y la Dirección General Marítima, Dimar, durante todo el proceso, iniciando desde los aspectos que debe incluir el Plan Logístico Portuario (PLP) hasta la socialización del documento</w:t>
      </w:r>
    </w:p>
    <w:p w:rsidR="00664C45" w:rsidRPr="00CB3A02" w:rsidRDefault="00664C45" w:rsidP="00F640D3">
      <w:pPr>
        <w:rPr>
          <w:rFonts w:cs="Arial"/>
          <w:sz w:val="14"/>
        </w:rPr>
      </w:pPr>
    </w:p>
    <w:p w:rsidR="000D46F9" w:rsidRDefault="000D46F9" w:rsidP="003D44B7">
      <w:pPr>
        <w:pStyle w:val="Ttulo2"/>
        <w:numPr>
          <w:ilvl w:val="1"/>
          <w:numId w:val="87"/>
        </w:numPr>
      </w:pPr>
      <w:bookmarkStart w:id="34" w:name="_Toc505003481"/>
      <w:r w:rsidRPr="007012D2">
        <w:t>Modelo de Gestión de Red Terciaria</w:t>
      </w:r>
      <w:bookmarkEnd w:id="34"/>
    </w:p>
    <w:p w:rsidR="007C1976" w:rsidRPr="00CB3A02" w:rsidRDefault="007C1976" w:rsidP="001B08CC">
      <w:pPr>
        <w:rPr>
          <w:rFonts w:cs="Arial"/>
          <w:sz w:val="14"/>
        </w:rPr>
      </w:pPr>
    </w:p>
    <w:p w:rsidR="005E741D" w:rsidRPr="007012D2" w:rsidRDefault="005E741D" w:rsidP="00442CAC">
      <w:pPr>
        <w:pStyle w:val="Prrafodelista"/>
        <w:numPr>
          <w:ilvl w:val="0"/>
          <w:numId w:val="22"/>
        </w:numPr>
        <w:rPr>
          <w:rFonts w:cs="Arial"/>
          <w:sz w:val="22"/>
        </w:rPr>
      </w:pPr>
      <w:r w:rsidRPr="007012D2">
        <w:rPr>
          <w:rFonts w:cs="Arial"/>
          <w:sz w:val="22"/>
        </w:rPr>
        <w:t>Se apoyó a la ART en la priorización de tramos a ser intervenidos con mantenimiento de 50 municipios, en el marco del Plan 51/50.</w:t>
      </w:r>
    </w:p>
    <w:p w:rsidR="005E741D" w:rsidRPr="007012D2" w:rsidRDefault="005E741D" w:rsidP="00442CAC">
      <w:pPr>
        <w:pStyle w:val="Prrafodelista"/>
        <w:numPr>
          <w:ilvl w:val="0"/>
          <w:numId w:val="22"/>
        </w:numPr>
        <w:rPr>
          <w:rFonts w:cs="Arial"/>
          <w:sz w:val="22"/>
        </w:rPr>
      </w:pPr>
      <w:r w:rsidRPr="007012D2">
        <w:rPr>
          <w:rFonts w:cs="Arial"/>
          <w:sz w:val="22"/>
        </w:rPr>
        <w:t>Se adelantaron gestiones con los 32 departamentos para la priorización de las vías a ser intervenidas con los recursos del FCTI trasladados por el Gobierno Nacional para la intervención de red terciaria en el marco del posconflicto.</w:t>
      </w:r>
    </w:p>
    <w:p w:rsidR="005E741D" w:rsidRPr="007012D2" w:rsidRDefault="005E741D" w:rsidP="00442CAC">
      <w:pPr>
        <w:pStyle w:val="Prrafodelista"/>
        <w:numPr>
          <w:ilvl w:val="0"/>
          <w:numId w:val="22"/>
        </w:numPr>
        <w:rPr>
          <w:rFonts w:cs="Arial"/>
          <w:sz w:val="22"/>
        </w:rPr>
      </w:pPr>
      <w:r w:rsidRPr="007012D2">
        <w:rPr>
          <w:rFonts w:cs="Arial"/>
          <w:sz w:val="22"/>
        </w:rPr>
        <w:lastRenderedPageBreak/>
        <w:t>Celebración de dos convenios interadministrativos para adelantar las pruebas y seguimiento de tecnologías alternativas: en Puerto Asís (Putumayo) y Valencia (Córdoba)</w:t>
      </w:r>
    </w:p>
    <w:p w:rsidR="000D46F9" w:rsidRPr="007012D2" w:rsidRDefault="005E741D" w:rsidP="00442CAC">
      <w:pPr>
        <w:pStyle w:val="Prrafodelista"/>
        <w:numPr>
          <w:ilvl w:val="0"/>
          <w:numId w:val="22"/>
        </w:numPr>
        <w:rPr>
          <w:rFonts w:cs="Arial"/>
          <w:sz w:val="22"/>
        </w:rPr>
      </w:pPr>
      <w:r w:rsidRPr="007012D2">
        <w:rPr>
          <w:rFonts w:cs="Arial"/>
          <w:sz w:val="22"/>
        </w:rPr>
        <w:t>Con el fin de adelantar inventarios de la red terciaria se celebraron los convenio 480-2017 con el departamento de Risaralda  por un valor de $250 millones donde el Ministerio de Transporte aportó $200 millones y el departamento $50 millones para adelantar el inventario de 554 km y el convenio 805-2017 con el departamento de Nariño, en el cual el Ministerio de Transporte transferirá recursos al departamento de Nariño por un monto que asciende a los $330 millones para adelantar el inventario de parte de la red terciar a cargo de INVIAS  ubicada en el departamento con un longitud de 556 km, para un total de 1.110 km.</w:t>
      </w:r>
    </w:p>
    <w:p w:rsidR="000D46F9" w:rsidRPr="00CB3A02" w:rsidRDefault="000D46F9" w:rsidP="000D46F9">
      <w:pPr>
        <w:rPr>
          <w:rFonts w:cs="Arial"/>
          <w:sz w:val="10"/>
        </w:rPr>
      </w:pPr>
    </w:p>
    <w:p w:rsidR="00917DB0" w:rsidRPr="007012D2" w:rsidRDefault="00917DB0" w:rsidP="00917DB0">
      <w:pPr>
        <w:rPr>
          <w:rFonts w:cs="Arial"/>
          <w:b/>
          <w:sz w:val="22"/>
        </w:rPr>
      </w:pPr>
      <w:r w:rsidRPr="007012D2">
        <w:rPr>
          <w:rFonts w:cs="Arial"/>
          <w:b/>
          <w:sz w:val="22"/>
        </w:rPr>
        <w:t>Próximos pasos:</w:t>
      </w:r>
    </w:p>
    <w:p w:rsidR="00917DB0" w:rsidRPr="007012D2" w:rsidRDefault="00917DB0" w:rsidP="00442CAC">
      <w:pPr>
        <w:pStyle w:val="Prrafodelista"/>
        <w:numPr>
          <w:ilvl w:val="0"/>
          <w:numId w:val="23"/>
        </w:numPr>
        <w:rPr>
          <w:rFonts w:cs="Arial"/>
          <w:sz w:val="22"/>
        </w:rPr>
      </w:pPr>
      <w:r w:rsidRPr="007012D2">
        <w:rPr>
          <w:rFonts w:cs="Arial"/>
          <w:sz w:val="22"/>
        </w:rPr>
        <w:t>Apoyo a las entidades territoriales para la estructuración de proyectos susceptibles a ser financiados por regalías en el marco del posconflicto bajo los requisitos vigentes.</w:t>
      </w:r>
    </w:p>
    <w:p w:rsidR="00917DB0" w:rsidRPr="007012D2" w:rsidRDefault="00917DB0" w:rsidP="00442CAC">
      <w:pPr>
        <w:pStyle w:val="Prrafodelista"/>
        <w:numPr>
          <w:ilvl w:val="0"/>
          <w:numId w:val="23"/>
        </w:numPr>
        <w:rPr>
          <w:rFonts w:cs="Arial"/>
          <w:sz w:val="22"/>
        </w:rPr>
      </w:pPr>
      <w:r w:rsidRPr="007012D2">
        <w:rPr>
          <w:rFonts w:cs="Arial"/>
          <w:sz w:val="22"/>
        </w:rPr>
        <w:t>Seguimiento durante dos años de los tramos de prueba con el fin de obtener especificaciones particulares de las familias de productos que hayan ofrecido resultados favorables para la intervención de vías de bajos y medios volúmenes de tránsito.</w:t>
      </w:r>
    </w:p>
    <w:p w:rsidR="00917DB0" w:rsidRPr="007012D2" w:rsidRDefault="00917DB0" w:rsidP="00442CAC">
      <w:pPr>
        <w:pStyle w:val="Prrafodelista"/>
        <w:numPr>
          <w:ilvl w:val="0"/>
          <w:numId w:val="23"/>
        </w:numPr>
        <w:rPr>
          <w:rFonts w:cs="Arial"/>
          <w:sz w:val="22"/>
        </w:rPr>
      </w:pPr>
      <w:r w:rsidRPr="007012D2">
        <w:rPr>
          <w:rFonts w:cs="Arial"/>
          <w:sz w:val="22"/>
        </w:rPr>
        <w:t>Teniendo en cuenta que se iba a suscribir convenio de transferencia de recursos con el departamento del Valle, quienes tomaron la decisión de no firmarlo, parte de estos recursos serán trasferidos al departamento de Nariño, la adición del contrato será por $165 millones para una longitud adicional de 278 km, con esta adición se adelantaría el inventario de 1.388 km de red terciaria. Se realizará adición presupuestal al convenio Interadministrativo suscrito con el municipio de Colón, departamento de Putumayo. Teniendo en cuenta que se iba a suscribir convenio de transferencia de recursos con el departamento del Valle, quienes tomaron la decisión de no firmarlo, la adición del contrato será por $80 millones para una longitud adicional de 5.33 km con esta adición la longitud total será en atención a caminos ancestrales de 16.06 km</w:t>
      </w:r>
    </w:p>
    <w:p w:rsidR="00917DB0" w:rsidRPr="00CB3A02" w:rsidRDefault="00917DB0" w:rsidP="000D46F9">
      <w:pPr>
        <w:rPr>
          <w:rFonts w:cs="Arial"/>
          <w:sz w:val="10"/>
        </w:rPr>
      </w:pPr>
    </w:p>
    <w:p w:rsidR="000D46F9" w:rsidRDefault="004C3500" w:rsidP="003D44B7">
      <w:pPr>
        <w:pStyle w:val="Ttulo2"/>
        <w:numPr>
          <w:ilvl w:val="1"/>
          <w:numId w:val="87"/>
        </w:numPr>
      </w:pPr>
      <w:bookmarkStart w:id="35" w:name="_Toc440538910"/>
      <w:bookmarkStart w:id="36" w:name="_Toc473412364"/>
      <w:bookmarkStart w:id="37" w:name="_Toc473412514"/>
      <w:bookmarkStart w:id="38" w:name="_Toc505003482"/>
      <w:r w:rsidRPr="007012D2">
        <w:t>Formulación de políticas de infraestructura de transporte</w:t>
      </w:r>
      <w:bookmarkEnd w:id="35"/>
      <w:bookmarkEnd w:id="36"/>
      <w:bookmarkEnd w:id="37"/>
      <w:bookmarkEnd w:id="38"/>
    </w:p>
    <w:p w:rsidR="005E40CF" w:rsidRPr="00CB3A02" w:rsidRDefault="005E40CF" w:rsidP="005E40CF">
      <w:pPr>
        <w:rPr>
          <w:rFonts w:cs="Arial"/>
          <w:sz w:val="10"/>
        </w:rPr>
      </w:pPr>
    </w:p>
    <w:p w:rsidR="005E40CF" w:rsidRPr="007012D2" w:rsidRDefault="005E40CF" w:rsidP="005E40CF">
      <w:pPr>
        <w:rPr>
          <w:rFonts w:cs="Arial"/>
          <w:sz w:val="22"/>
          <w:u w:val="single"/>
        </w:rPr>
      </w:pPr>
      <w:r w:rsidRPr="007012D2">
        <w:rPr>
          <w:rFonts w:cs="Arial"/>
          <w:sz w:val="22"/>
          <w:u w:val="single"/>
        </w:rPr>
        <w:t>Proyecto de Ley de Contratación Pública - Ley de Transparencia:</w:t>
      </w:r>
    </w:p>
    <w:p w:rsidR="005E40CF" w:rsidRPr="007012D2" w:rsidRDefault="005E40CF" w:rsidP="00442CAC">
      <w:pPr>
        <w:pStyle w:val="Prrafodelista"/>
        <w:numPr>
          <w:ilvl w:val="0"/>
          <w:numId w:val="24"/>
        </w:numPr>
        <w:rPr>
          <w:rFonts w:cs="Arial"/>
          <w:sz w:val="22"/>
        </w:rPr>
      </w:pPr>
      <w:r w:rsidRPr="007012D2">
        <w:rPr>
          <w:rFonts w:cs="Arial"/>
          <w:sz w:val="22"/>
        </w:rPr>
        <w:lastRenderedPageBreak/>
        <w:t>Se presentó un Proyecto de Ley que pretende fortalecer algunos aspectos relacionados con el sector de la infraestructura de transporte para que sea más transparente y eficiente, busca darle fuerza al Estado para que los procesos de contratación pública de obra y consultoría sean más estrictos y garanticen la transparencia y su buena ejecución.</w:t>
      </w:r>
    </w:p>
    <w:p w:rsidR="005E40CF" w:rsidRPr="007012D2" w:rsidRDefault="005E40CF" w:rsidP="00442CAC">
      <w:pPr>
        <w:pStyle w:val="Prrafodelista"/>
        <w:numPr>
          <w:ilvl w:val="0"/>
          <w:numId w:val="24"/>
        </w:numPr>
        <w:rPr>
          <w:rFonts w:cs="Arial"/>
          <w:sz w:val="22"/>
        </w:rPr>
      </w:pPr>
      <w:r w:rsidRPr="007012D2">
        <w:rPr>
          <w:rFonts w:cs="Arial"/>
          <w:sz w:val="22"/>
        </w:rPr>
        <w:t xml:space="preserve">El proyecto de Ley fue aprobado en cuarto debate en la Plenaria de la Cámara de Representantes. </w:t>
      </w:r>
    </w:p>
    <w:p w:rsidR="005E40CF" w:rsidRPr="00CB3A02" w:rsidRDefault="005E40CF" w:rsidP="005E40CF">
      <w:pPr>
        <w:pStyle w:val="Prrafodelista"/>
        <w:rPr>
          <w:rFonts w:cs="Arial"/>
          <w:sz w:val="12"/>
        </w:rPr>
      </w:pPr>
    </w:p>
    <w:p w:rsidR="005E40CF" w:rsidRPr="007012D2" w:rsidRDefault="005E40CF" w:rsidP="005E40CF">
      <w:pPr>
        <w:rPr>
          <w:rFonts w:cs="Arial"/>
          <w:b/>
          <w:sz w:val="22"/>
        </w:rPr>
      </w:pPr>
      <w:r w:rsidRPr="007012D2">
        <w:rPr>
          <w:rFonts w:cs="Arial"/>
          <w:b/>
          <w:sz w:val="22"/>
        </w:rPr>
        <w:t>Próximos pasos</w:t>
      </w:r>
    </w:p>
    <w:p w:rsidR="005E40CF" w:rsidRPr="007012D2" w:rsidRDefault="005E40CF" w:rsidP="00442CAC">
      <w:pPr>
        <w:pStyle w:val="Prrafodelista"/>
        <w:numPr>
          <w:ilvl w:val="0"/>
          <w:numId w:val="24"/>
        </w:numPr>
        <w:rPr>
          <w:rFonts w:cs="Arial"/>
          <w:sz w:val="22"/>
        </w:rPr>
      </w:pPr>
      <w:r w:rsidRPr="007012D2">
        <w:rPr>
          <w:rFonts w:cs="Arial"/>
          <w:sz w:val="22"/>
        </w:rPr>
        <w:t>Aprobación definitiva en el Congreso de la República.</w:t>
      </w:r>
    </w:p>
    <w:p w:rsidR="005E40CF" w:rsidRPr="007012D2" w:rsidRDefault="005E40CF" w:rsidP="00442CAC">
      <w:pPr>
        <w:pStyle w:val="Prrafodelista"/>
        <w:numPr>
          <w:ilvl w:val="0"/>
          <w:numId w:val="24"/>
        </w:numPr>
        <w:rPr>
          <w:rFonts w:cs="Arial"/>
          <w:sz w:val="22"/>
        </w:rPr>
      </w:pPr>
      <w:r w:rsidRPr="007012D2">
        <w:rPr>
          <w:rFonts w:cs="Arial"/>
          <w:sz w:val="22"/>
        </w:rPr>
        <w:t>Implementación de la Ley en caso de ser aprobada.</w:t>
      </w:r>
    </w:p>
    <w:p w:rsidR="005E40CF" w:rsidRPr="00CB3A02" w:rsidRDefault="005E40CF" w:rsidP="005E40CF">
      <w:pPr>
        <w:pStyle w:val="Prrafodelista"/>
        <w:rPr>
          <w:rFonts w:cs="Arial"/>
          <w:sz w:val="14"/>
        </w:rPr>
      </w:pPr>
    </w:p>
    <w:p w:rsidR="005E40CF" w:rsidRPr="007012D2" w:rsidRDefault="005E40CF" w:rsidP="005E40CF">
      <w:pPr>
        <w:rPr>
          <w:rFonts w:cs="Arial"/>
          <w:sz w:val="22"/>
        </w:rPr>
      </w:pPr>
      <w:r w:rsidRPr="007012D2">
        <w:rPr>
          <w:rFonts w:cs="Arial"/>
          <w:sz w:val="22"/>
          <w:u w:val="single"/>
        </w:rPr>
        <w:t>Memorandos de Entendimiento:</w:t>
      </w:r>
    </w:p>
    <w:p w:rsidR="005E40CF" w:rsidRPr="007012D2" w:rsidRDefault="005E40CF" w:rsidP="005E40CF">
      <w:pPr>
        <w:rPr>
          <w:rFonts w:cs="Arial"/>
          <w:sz w:val="22"/>
        </w:rPr>
      </w:pPr>
      <w:r w:rsidRPr="007012D2">
        <w:rPr>
          <w:rFonts w:cs="Arial"/>
          <w:sz w:val="22"/>
        </w:rPr>
        <w:t>Coordinación, construcción y desarrollo de los documentos Memorandos de Entendimiento con España y Bélgica. Proyectos de Memorando de Entendimiento con Emiratos Árabes Unidos y el de Colombia relacionado con la prevención y seguridad en el trabajo y en la salud, dentro de los proyectos de construcción de las concesiones 4G. Atendidas las solicitudes de cooperación con Argentina, Suecia, Brasil, Rusia y Panamá.</w:t>
      </w:r>
    </w:p>
    <w:p w:rsidR="00664C45" w:rsidRPr="00CB3A02" w:rsidRDefault="00664C45" w:rsidP="00664C45">
      <w:pPr>
        <w:rPr>
          <w:rFonts w:cs="Arial"/>
          <w:sz w:val="14"/>
        </w:rPr>
      </w:pPr>
    </w:p>
    <w:p w:rsidR="005E40CF" w:rsidRPr="007012D2" w:rsidRDefault="005E40CF" w:rsidP="005E40CF">
      <w:pPr>
        <w:rPr>
          <w:rFonts w:cs="Arial"/>
          <w:sz w:val="22"/>
          <w:u w:val="single"/>
        </w:rPr>
      </w:pPr>
      <w:r w:rsidRPr="007012D2">
        <w:rPr>
          <w:rFonts w:cs="Arial"/>
          <w:sz w:val="22"/>
          <w:u w:val="single"/>
        </w:rPr>
        <w:t>SisCONPES</w:t>
      </w:r>
    </w:p>
    <w:p w:rsidR="000D46F9" w:rsidRPr="007012D2" w:rsidRDefault="005E40CF" w:rsidP="005E40CF">
      <w:pPr>
        <w:pStyle w:val="Prrafodelista"/>
        <w:ind w:left="0"/>
        <w:rPr>
          <w:rFonts w:cs="Arial"/>
          <w:sz w:val="22"/>
        </w:rPr>
      </w:pPr>
      <w:r w:rsidRPr="007012D2">
        <w:rPr>
          <w:rFonts w:cs="Arial"/>
          <w:sz w:val="22"/>
        </w:rPr>
        <w:t>Actualizar la plataforma SisCONPES del Departamento Nacional de Planeación -DNP-, en los módulos de los documentos de Política Portuaria para un país más moderno, Plan de Navegabilidad del río Magdalena, Política Orinoquía: Altillanura, Política Nacional del Sistema de Ciudades, Política para la gestión de la red terciaria y Política de Movilidad Bogotá – Cundinamarca.</w:t>
      </w:r>
    </w:p>
    <w:p w:rsidR="00DB4B45" w:rsidRPr="005B7D72" w:rsidRDefault="00DB4B45" w:rsidP="005E40CF">
      <w:pPr>
        <w:pStyle w:val="Prrafodelista"/>
        <w:ind w:left="0"/>
        <w:rPr>
          <w:rFonts w:cs="Arial"/>
          <w:sz w:val="14"/>
        </w:rPr>
      </w:pPr>
    </w:p>
    <w:p w:rsidR="00DB4B45" w:rsidRPr="007012D2" w:rsidRDefault="00DB4B45" w:rsidP="00DB4B45">
      <w:pPr>
        <w:rPr>
          <w:rFonts w:cs="Arial"/>
          <w:sz w:val="22"/>
          <w:u w:val="single"/>
        </w:rPr>
      </w:pPr>
      <w:r w:rsidRPr="007012D2">
        <w:rPr>
          <w:rFonts w:cs="Arial"/>
          <w:sz w:val="22"/>
          <w:u w:val="single"/>
        </w:rPr>
        <w:t>Modo Carretero:</w:t>
      </w:r>
    </w:p>
    <w:p w:rsidR="00DB4B45" w:rsidRPr="007012D2" w:rsidRDefault="00DB4B45" w:rsidP="00442CAC">
      <w:pPr>
        <w:pStyle w:val="Prrafodelista"/>
        <w:numPr>
          <w:ilvl w:val="0"/>
          <w:numId w:val="27"/>
        </w:numPr>
        <w:rPr>
          <w:rFonts w:cs="Arial"/>
          <w:sz w:val="22"/>
        </w:rPr>
      </w:pPr>
      <w:r w:rsidRPr="007012D2">
        <w:rPr>
          <w:rFonts w:cs="Arial"/>
          <w:sz w:val="22"/>
        </w:rPr>
        <w:t>Se expidió la Resolución para prorrogar el plazo de reportar información a incluir en el Sistema Integral Nacional de Información de Carreteras – SINC-. Para contar con una herramienta de gestión de información de la red vial, con el fin de que se reporte el estado actual de las vías, para fácil consulta de los diferentes sectores y todos los ciudadanos.</w:t>
      </w:r>
    </w:p>
    <w:p w:rsidR="00DB4B45" w:rsidRPr="007012D2" w:rsidRDefault="00DB4B45" w:rsidP="00442CAC">
      <w:pPr>
        <w:pStyle w:val="Prrafodelista"/>
        <w:numPr>
          <w:ilvl w:val="0"/>
          <w:numId w:val="27"/>
        </w:numPr>
        <w:rPr>
          <w:rFonts w:cs="Arial"/>
          <w:sz w:val="22"/>
        </w:rPr>
      </w:pPr>
      <w:r w:rsidRPr="007012D2">
        <w:rPr>
          <w:rFonts w:cs="Arial"/>
          <w:sz w:val="22"/>
        </w:rPr>
        <w:lastRenderedPageBreak/>
        <w:t>Se firmó la Resolución que exonera el pago de peaje a los vehículos de la Misión de las Naciones Unidas.</w:t>
      </w:r>
    </w:p>
    <w:p w:rsidR="00DB4B45" w:rsidRPr="007012D2" w:rsidRDefault="00DB4B45" w:rsidP="00442CAC">
      <w:pPr>
        <w:pStyle w:val="Prrafodelista"/>
        <w:numPr>
          <w:ilvl w:val="0"/>
          <w:numId w:val="27"/>
        </w:numPr>
        <w:rPr>
          <w:rFonts w:cs="Arial"/>
          <w:sz w:val="22"/>
        </w:rPr>
      </w:pPr>
      <w:r w:rsidRPr="007012D2">
        <w:rPr>
          <w:rFonts w:cs="Arial"/>
          <w:sz w:val="22"/>
        </w:rPr>
        <w:t>Se definieron los criterios técnicos para categorizar las carreteras y la fecha de reportar información al Ministerio de Transporte y la metodología para realizar la categorización de la red vial nacional de carreteras.</w:t>
      </w:r>
    </w:p>
    <w:p w:rsidR="00DB4B45" w:rsidRPr="005B7D72" w:rsidRDefault="00DB4B45" w:rsidP="00DB4B45">
      <w:pPr>
        <w:pStyle w:val="Prrafodelista"/>
        <w:rPr>
          <w:rFonts w:cs="Arial"/>
          <w:sz w:val="14"/>
        </w:rPr>
      </w:pPr>
    </w:p>
    <w:p w:rsidR="00DB4B45" w:rsidRPr="007012D2" w:rsidRDefault="00DB4B45" w:rsidP="00DB4B45">
      <w:pPr>
        <w:rPr>
          <w:rFonts w:cs="Arial"/>
          <w:b/>
          <w:sz w:val="22"/>
        </w:rPr>
      </w:pPr>
      <w:r w:rsidRPr="007012D2">
        <w:rPr>
          <w:rFonts w:cs="Arial"/>
          <w:b/>
          <w:sz w:val="22"/>
        </w:rPr>
        <w:t>Próximos pasos</w:t>
      </w:r>
    </w:p>
    <w:p w:rsidR="00DB4B45" w:rsidRPr="007012D2" w:rsidRDefault="00DB4B45" w:rsidP="00442CAC">
      <w:pPr>
        <w:pStyle w:val="Prrafodelista"/>
        <w:numPr>
          <w:ilvl w:val="0"/>
          <w:numId w:val="28"/>
        </w:numPr>
        <w:rPr>
          <w:rFonts w:cs="Arial"/>
          <w:sz w:val="22"/>
        </w:rPr>
      </w:pPr>
      <w:r w:rsidRPr="007012D2">
        <w:rPr>
          <w:rFonts w:cs="Arial"/>
          <w:sz w:val="22"/>
        </w:rPr>
        <w:t>Implementación de la Resolución</w:t>
      </w:r>
    </w:p>
    <w:p w:rsidR="00DB4B45" w:rsidRPr="007012D2" w:rsidRDefault="00DB4B45" w:rsidP="00442CAC">
      <w:pPr>
        <w:pStyle w:val="Prrafodelista"/>
        <w:numPr>
          <w:ilvl w:val="0"/>
          <w:numId w:val="28"/>
        </w:numPr>
        <w:rPr>
          <w:rFonts w:cs="Arial"/>
          <w:sz w:val="22"/>
        </w:rPr>
      </w:pPr>
      <w:r w:rsidRPr="007012D2">
        <w:rPr>
          <w:rFonts w:cs="Arial"/>
          <w:sz w:val="22"/>
        </w:rPr>
        <w:t>Expedición de la Resolución e implementación de la metodología para la formulación de Planes Regionales de Infraestructura Intermodal de Transporte –PRIIT-, adoptar el procedimiento y requisitos para los departamentos con contratos plan en desarrollo y socializarla con los demás entes territoriales que implementen a futuro dichos contratos, de tal manera que se unifiquen criterios en la estructuración de los proyectos.</w:t>
      </w:r>
    </w:p>
    <w:p w:rsidR="00DB4B45" w:rsidRPr="005B7D72" w:rsidRDefault="00DB4B45" w:rsidP="005E40CF">
      <w:pPr>
        <w:pStyle w:val="Prrafodelista"/>
        <w:ind w:left="0"/>
        <w:rPr>
          <w:rFonts w:cs="Arial"/>
          <w:sz w:val="12"/>
        </w:rPr>
      </w:pPr>
    </w:p>
    <w:p w:rsidR="00DB4B45" w:rsidRPr="007012D2" w:rsidRDefault="00DB4B45" w:rsidP="00DB4B45">
      <w:pPr>
        <w:rPr>
          <w:rFonts w:cs="Arial"/>
          <w:sz w:val="22"/>
          <w:u w:val="single"/>
        </w:rPr>
      </w:pPr>
      <w:r w:rsidRPr="007012D2">
        <w:rPr>
          <w:rFonts w:cs="Arial"/>
          <w:sz w:val="22"/>
          <w:u w:val="single"/>
        </w:rPr>
        <w:t>Modo Portuario:</w:t>
      </w:r>
    </w:p>
    <w:p w:rsidR="00DB4B45" w:rsidRPr="007012D2" w:rsidRDefault="00DB4B45" w:rsidP="00442CAC">
      <w:pPr>
        <w:pStyle w:val="Prrafodelista"/>
        <w:numPr>
          <w:ilvl w:val="0"/>
          <w:numId w:val="29"/>
        </w:numPr>
        <w:rPr>
          <w:rFonts w:cs="Arial"/>
          <w:sz w:val="22"/>
        </w:rPr>
      </w:pPr>
      <w:r w:rsidRPr="007012D2">
        <w:rPr>
          <w:rFonts w:cs="Arial"/>
          <w:sz w:val="22"/>
        </w:rPr>
        <w:t>Se expidió la Resolución 0850 del 6 de abril de 2017 “Por medio de la cual se establece el contenido del Reglamento de condiciones técnicas de operación de los puertos marítimos y se dictan otras disposiciones – RCTO”. Para incrementar la eficiencia y la seguridad en los puertos marítimos, y puertos fluviales nacionales con vocación marítima ubicados en los últimos 30 kilómetros del río Magdalena, Implementando protocolos de Operación de acuerdo con los estándares internacionales.</w:t>
      </w:r>
    </w:p>
    <w:p w:rsidR="00DB4B45" w:rsidRPr="007012D2" w:rsidRDefault="00DB4B45" w:rsidP="00442CAC">
      <w:pPr>
        <w:pStyle w:val="Prrafodelista"/>
        <w:numPr>
          <w:ilvl w:val="0"/>
          <w:numId w:val="29"/>
        </w:numPr>
        <w:rPr>
          <w:rFonts w:cs="Arial"/>
          <w:sz w:val="22"/>
        </w:rPr>
      </w:pPr>
      <w:r w:rsidRPr="007012D2">
        <w:rPr>
          <w:rFonts w:cs="Arial"/>
          <w:sz w:val="22"/>
        </w:rPr>
        <w:t>Se expidió la Resolución 04159 del 6 de octubre de 2017 “Por medio de la cual se establecen nuevos plazos para el ajuste de los Reglamentos Técnicos de Condiciones de Operación de Puertos Marítimos”, derogándose el parágrafo 1 del artículo 21 de la Resolución 850 de 2017.</w:t>
      </w:r>
    </w:p>
    <w:p w:rsidR="00DB4B45" w:rsidRPr="007012D2" w:rsidRDefault="00DB4B45" w:rsidP="00442CAC">
      <w:pPr>
        <w:pStyle w:val="Prrafodelista"/>
        <w:numPr>
          <w:ilvl w:val="0"/>
          <w:numId w:val="29"/>
        </w:numPr>
        <w:rPr>
          <w:rFonts w:cs="Arial"/>
          <w:sz w:val="22"/>
        </w:rPr>
      </w:pPr>
      <w:r w:rsidRPr="007012D2">
        <w:rPr>
          <w:rFonts w:cs="Arial"/>
          <w:sz w:val="22"/>
        </w:rPr>
        <w:t>En desarrollo la redacción y publicación del proyecto de resolución por medio “Por la cual se modifican los artículos 20 y 22 de la Resolución 850 de 2017 y se dictan otras disposiciones”, con el propósito de establecer el procedimiento que deberá cumplirse en el trámite de aprobación de los Reglamentos de Condiciones Técnicas de Operación por parte de los concesionarios portuarios marítimos y las autoridades competentes.</w:t>
      </w:r>
    </w:p>
    <w:p w:rsidR="00DB4B45" w:rsidRPr="007012D2" w:rsidRDefault="00DB4B45" w:rsidP="00442CAC">
      <w:pPr>
        <w:pStyle w:val="Prrafodelista"/>
        <w:numPr>
          <w:ilvl w:val="0"/>
          <w:numId w:val="29"/>
        </w:numPr>
        <w:rPr>
          <w:rFonts w:cs="Arial"/>
          <w:sz w:val="22"/>
        </w:rPr>
      </w:pPr>
      <w:r w:rsidRPr="007012D2">
        <w:rPr>
          <w:rFonts w:cs="Arial"/>
          <w:sz w:val="22"/>
        </w:rPr>
        <w:t xml:space="preserve">Se elaboraron los Términos de Referencia del documento de Política Plan Logístico Portuario. que identifique los cuellos de botella y elabore propuestas de mejora en aspectos de infraestructura, seguridad marítima, logística, financiamiento, gestión y </w:t>
      </w:r>
      <w:r w:rsidRPr="007012D2">
        <w:rPr>
          <w:rFonts w:cs="Arial"/>
          <w:sz w:val="22"/>
        </w:rPr>
        <w:lastRenderedPageBreak/>
        <w:t>medio ambiente en las siguientes zonas portuarias de Santa Marta, Barranquilla, Cartagena y Buenaventura</w:t>
      </w:r>
    </w:p>
    <w:p w:rsidR="00DB4B45" w:rsidRPr="005B7D72" w:rsidRDefault="00DB4B45" w:rsidP="005E40CF">
      <w:pPr>
        <w:pStyle w:val="Prrafodelista"/>
        <w:ind w:left="0"/>
        <w:rPr>
          <w:rFonts w:cs="Arial"/>
          <w:sz w:val="10"/>
          <w:highlight w:val="yellow"/>
        </w:rPr>
      </w:pPr>
    </w:p>
    <w:p w:rsidR="00DB4B45" w:rsidRPr="007012D2" w:rsidRDefault="00DB4B45" w:rsidP="00DB4B45">
      <w:pPr>
        <w:rPr>
          <w:rFonts w:cs="Arial"/>
          <w:sz w:val="22"/>
          <w:u w:val="single"/>
        </w:rPr>
      </w:pPr>
      <w:r w:rsidRPr="007012D2">
        <w:rPr>
          <w:rFonts w:cs="Arial"/>
          <w:sz w:val="22"/>
          <w:u w:val="single"/>
        </w:rPr>
        <w:t>Modo Aéreo:</w:t>
      </w:r>
    </w:p>
    <w:p w:rsidR="00DB4B45" w:rsidRPr="007012D2" w:rsidRDefault="00DB4B45" w:rsidP="00442CAC">
      <w:pPr>
        <w:pStyle w:val="Prrafodelista"/>
        <w:numPr>
          <w:ilvl w:val="0"/>
          <w:numId w:val="30"/>
        </w:numPr>
        <w:rPr>
          <w:rFonts w:cs="Arial"/>
          <w:sz w:val="22"/>
        </w:rPr>
      </w:pPr>
      <w:r w:rsidRPr="007012D2">
        <w:rPr>
          <w:rFonts w:cs="Arial"/>
          <w:sz w:val="22"/>
        </w:rPr>
        <w:t>Apoyo técnico al Ministerio de Defensa en la estructuración del Decreto No. 703 de 2017, en lo relacionado con las subvenciones al Servicio Aéreo a Territorios Nacionales - SATENA S.A.</w:t>
      </w:r>
    </w:p>
    <w:p w:rsidR="00DB4B45" w:rsidRPr="005B7D72" w:rsidRDefault="00DB4B45" w:rsidP="00DB4B45">
      <w:pPr>
        <w:pStyle w:val="Prrafodelista"/>
        <w:rPr>
          <w:rFonts w:cs="Arial"/>
          <w:sz w:val="14"/>
        </w:rPr>
      </w:pPr>
    </w:p>
    <w:p w:rsidR="00DB4B45" w:rsidRPr="007012D2" w:rsidRDefault="00DB4B45" w:rsidP="00DB4B45">
      <w:pPr>
        <w:rPr>
          <w:rFonts w:cs="Arial"/>
          <w:b/>
          <w:sz w:val="22"/>
        </w:rPr>
      </w:pPr>
      <w:r w:rsidRPr="007012D2">
        <w:rPr>
          <w:rFonts w:cs="Arial"/>
          <w:b/>
          <w:sz w:val="22"/>
        </w:rPr>
        <w:t>Próximos Pasos</w:t>
      </w:r>
    </w:p>
    <w:p w:rsidR="00FD627F" w:rsidRPr="007012D2" w:rsidRDefault="00DB4B45" w:rsidP="00442CAC">
      <w:pPr>
        <w:pStyle w:val="Prrafodelista"/>
        <w:numPr>
          <w:ilvl w:val="0"/>
          <w:numId w:val="30"/>
        </w:numPr>
        <w:rPr>
          <w:rFonts w:cs="Arial"/>
          <w:sz w:val="22"/>
        </w:rPr>
      </w:pPr>
      <w:r w:rsidRPr="007012D2">
        <w:rPr>
          <w:rFonts w:cs="Arial"/>
          <w:sz w:val="22"/>
        </w:rPr>
        <w:t>Continuar con el apoyo a las políticas del sector</w:t>
      </w:r>
    </w:p>
    <w:p w:rsidR="00DB4B45" w:rsidRPr="005B7D72" w:rsidRDefault="00DB4B45" w:rsidP="00DB4B45">
      <w:pPr>
        <w:rPr>
          <w:rFonts w:cs="Arial"/>
          <w:sz w:val="16"/>
        </w:rPr>
      </w:pPr>
    </w:p>
    <w:p w:rsidR="00DB4B45" w:rsidRPr="007012D2" w:rsidRDefault="00DB4B45" w:rsidP="00DB4B45">
      <w:pPr>
        <w:rPr>
          <w:rFonts w:cs="Arial"/>
          <w:sz w:val="22"/>
          <w:u w:val="single"/>
        </w:rPr>
      </w:pPr>
      <w:r w:rsidRPr="007012D2">
        <w:rPr>
          <w:rFonts w:cs="Arial"/>
          <w:sz w:val="22"/>
          <w:u w:val="single"/>
        </w:rPr>
        <w:t>Modo Férreo:</w:t>
      </w:r>
    </w:p>
    <w:p w:rsidR="00DB4B45" w:rsidRPr="007012D2" w:rsidRDefault="00DB4B45" w:rsidP="005B7D72">
      <w:pPr>
        <w:pStyle w:val="Prrafodelista"/>
        <w:numPr>
          <w:ilvl w:val="0"/>
          <w:numId w:val="30"/>
        </w:numPr>
        <w:rPr>
          <w:rFonts w:cs="Arial"/>
          <w:sz w:val="22"/>
        </w:rPr>
      </w:pPr>
      <w:r w:rsidRPr="007012D2">
        <w:rPr>
          <w:rFonts w:cs="Arial"/>
          <w:sz w:val="22"/>
        </w:rPr>
        <w:t>Elaboración de un documento técnico de soporte para la reglamentación del Artículo 30 del Decreto 1008 de 2015, el cual define las condiciones mínimas que debe tener la infraestructura para sistemas livianos férreos (metro ligero, tren ligero, tranvía y tren-tram) de pasajeros, en aspectos como: el trazado de la vía (definición de su geometría), plataforma, cruces de peatones, intersecciones, señalización, paradas y estaciones.</w:t>
      </w:r>
    </w:p>
    <w:p w:rsidR="00DB4B45" w:rsidRPr="007012D2" w:rsidRDefault="00DB4B45" w:rsidP="005B7D72">
      <w:pPr>
        <w:pStyle w:val="Prrafodelista"/>
        <w:numPr>
          <w:ilvl w:val="0"/>
          <w:numId w:val="30"/>
        </w:numPr>
        <w:rPr>
          <w:rFonts w:cs="Arial"/>
          <w:sz w:val="22"/>
        </w:rPr>
      </w:pPr>
      <w:r w:rsidRPr="007012D2">
        <w:rPr>
          <w:rFonts w:cs="Arial"/>
          <w:sz w:val="22"/>
        </w:rPr>
        <w:t xml:space="preserve">Se publicó en la página Web del Ministerio de Transporte el documento técnico de soporte para la reglamentación del Artículo 30 del Decreto 1008 de 2015. </w:t>
      </w:r>
    </w:p>
    <w:p w:rsidR="00DB4B45" w:rsidRPr="005B7D72" w:rsidRDefault="00DB4B45" w:rsidP="00DB4B45">
      <w:pPr>
        <w:rPr>
          <w:rFonts w:cs="Arial"/>
          <w:sz w:val="12"/>
        </w:rPr>
      </w:pPr>
    </w:p>
    <w:p w:rsidR="00DB4B45" w:rsidRPr="007012D2" w:rsidRDefault="00DB4B45" w:rsidP="00DB4B45">
      <w:pPr>
        <w:rPr>
          <w:rFonts w:cs="Arial"/>
          <w:b/>
          <w:sz w:val="22"/>
        </w:rPr>
      </w:pPr>
      <w:r w:rsidRPr="007012D2">
        <w:rPr>
          <w:rFonts w:cs="Arial"/>
          <w:b/>
          <w:sz w:val="22"/>
        </w:rPr>
        <w:t>Próximos Pasos:</w:t>
      </w:r>
    </w:p>
    <w:p w:rsidR="00DB4B45" w:rsidRPr="007012D2" w:rsidRDefault="00DB4B45" w:rsidP="00442CAC">
      <w:pPr>
        <w:pStyle w:val="Prrafodelista"/>
        <w:numPr>
          <w:ilvl w:val="0"/>
          <w:numId w:val="31"/>
        </w:numPr>
        <w:rPr>
          <w:rFonts w:cs="Arial"/>
          <w:sz w:val="22"/>
        </w:rPr>
      </w:pPr>
      <w:r w:rsidRPr="007012D2">
        <w:rPr>
          <w:rFonts w:cs="Arial"/>
          <w:sz w:val="22"/>
        </w:rPr>
        <w:t>Incluir en el documento técnico las observaciones si fuere el caso</w:t>
      </w:r>
    </w:p>
    <w:p w:rsidR="00DB4B45" w:rsidRPr="007012D2" w:rsidRDefault="00DB4B45" w:rsidP="00442CAC">
      <w:pPr>
        <w:pStyle w:val="Prrafodelista"/>
        <w:numPr>
          <w:ilvl w:val="0"/>
          <w:numId w:val="31"/>
        </w:numPr>
        <w:rPr>
          <w:rFonts w:cs="Arial"/>
          <w:sz w:val="22"/>
        </w:rPr>
      </w:pPr>
      <w:r w:rsidRPr="007012D2">
        <w:rPr>
          <w:rFonts w:cs="Arial"/>
          <w:sz w:val="22"/>
        </w:rPr>
        <w:t>Socialización del documento técnico soporte con los actores del sector y definir la estrategia de implementación de los contenidos de la Resolución</w:t>
      </w:r>
    </w:p>
    <w:p w:rsidR="00DB4B45" w:rsidRPr="007012D2" w:rsidRDefault="00DB4B45" w:rsidP="00442CAC">
      <w:pPr>
        <w:pStyle w:val="Prrafodelista"/>
        <w:numPr>
          <w:ilvl w:val="0"/>
          <w:numId w:val="31"/>
        </w:numPr>
        <w:rPr>
          <w:rFonts w:cs="Arial"/>
          <w:sz w:val="22"/>
        </w:rPr>
      </w:pPr>
      <w:r w:rsidRPr="007012D2">
        <w:rPr>
          <w:rFonts w:cs="Arial"/>
          <w:sz w:val="22"/>
        </w:rPr>
        <w:t>Expedición de la resolución y su implementación</w:t>
      </w:r>
    </w:p>
    <w:p w:rsidR="00DB4B45" w:rsidRPr="007012D2" w:rsidRDefault="00DB4B45" w:rsidP="00DB4B45">
      <w:pPr>
        <w:rPr>
          <w:rFonts w:cs="Arial"/>
          <w:sz w:val="22"/>
          <w:u w:val="single"/>
        </w:rPr>
      </w:pPr>
      <w:r w:rsidRPr="007012D2">
        <w:rPr>
          <w:rFonts w:cs="Arial"/>
          <w:sz w:val="22"/>
          <w:u w:val="single"/>
        </w:rPr>
        <w:t>Fronteras:</w:t>
      </w:r>
    </w:p>
    <w:p w:rsidR="00DB4B45" w:rsidRPr="007012D2" w:rsidRDefault="00DB4B45" w:rsidP="00442CAC">
      <w:pPr>
        <w:pStyle w:val="Prrafodelista"/>
        <w:numPr>
          <w:ilvl w:val="0"/>
          <w:numId w:val="32"/>
        </w:numPr>
        <w:rPr>
          <w:rFonts w:cs="Arial"/>
          <w:sz w:val="22"/>
        </w:rPr>
      </w:pPr>
      <w:r w:rsidRPr="007012D2">
        <w:rPr>
          <w:rFonts w:cs="Arial"/>
          <w:sz w:val="22"/>
        </w:rPr>
        <w:t>Se acompañó y apoyó técnicamente al Departamento Nacional de Planeación - DNP en la elaboración del Decreto para regular la operación y el funcionamiento de los Centros Nacionales de Atención en Fronteras - CENAF y los Centros Binacionales de Atención en Frontera - CEBAF, se crea la Comisión Intersectorial del Modelo SI/Fronterizo de los CENAB/CEBAF. Publicado en la página web del DNP.</w:t>
      </w:r>
    </w:p>
    <w:p w:rsidR="00DB4B45" w:rsidRPr="007012D2" w:rsidRDefault="00DB4B45" w:rsidP="00442CAC">
      <w:pPr>
        <w:pStyle w:val="Prrafodelista"/>
        <w:numPr>
          <w:ilvl w:val="0"/>
          <w:numId w:val="32"/>
        </w:numPr>
        <w:rPr>
          <w:rFonts w:cs="Arial"/>
          <w:sz w:val="22"/>
        </w:rPr>
      </w:pPr>
      <w:r w:rsidRPr="007012D2">
        <w:rPr>
          <w:rFonts w:cs="Arial"/>
          <w:sz w:val="22"/>
        </w:rPr>
        <w:t>Trabajo interinstitucional que se ha venido consolidando entre los Ministerios vinculados y las autoridades de control en frontera.</w:t>
      </w:r>
    </w:p>
    <w:p w:rsidR="00DB4B45" w:rsidRPr="007012D2" w:rsidRDefault="00DB4B45" w:rsidP="00DB4B45">
      <w:pPr>
        <w:rPr>
          <w:rFonts w:cs="Arial"/>
          <w:sz w:val="22"/>
        </w:rPr>
      </w:pPr>
    </w:p>
    <w:p w:rsidR="00DB4B45" w:rsidRPr="007012D2" w:rsidRDefault="00DB4B45" w:rsidP="00DB4B45">
      <w:pPr>
        <w:rPr>
          <w:rFonts w:cs="Arial"/>
          <w:b/>
          <w:sz w:val="22"/>
        </w:rPr>
      </w:pPr>
      <w:r w:rsidRPr="007012D2">
        <w:rPr>
          <w:rFonts w:cs="Arial"/>
          <w:b/>
          <w:sz w:val="22"/>
        </w:rPr>
        <w:t>Próximos Pasos</w:t>
      </w:r>
    </w:p>
    <w:p w:rsidR="00DB4B45" w:rsidRPr="007012D2" w:rsidRDefault="00DB4B45" w:rsidP="00AF49EB">
      <w:pPr>
        <w:rPr>
          <w:rFonts w:cs="Arial"/>
          <w:sz w:val="22"/>
        </w:rPr>
      </w:pPr>
      <w:r w:rsidRPr="007012D2">
        <w:rPr>
          <w:rFonts w:cs="Arial"/>
          <w:sz w:val="22"/>
        </w:rPr>
        <w:t>Dentro de las entidades del estado que hacen parte de la Comisión, está el Ministerio de Transporte. La comisión coordinara los centros en la orientación de las entidades públicas que participen de estos y desempeñen funciones y servicios de control, vigilancia e inspección a personas, vehículos y mercancías</w:t>
      </w:r>
    </w:p>
    <w:p w:rsidR="00DB4B45" w:rsidRPr="005B7D72" w:rsidRDefault="00DB4B45" w:rsidP="00DB4B45">
      <w:pPr>
        <w:rPr>
          <w:rFonts w:cs="Arial"/>
          <w:sz w:val="14"/>
        </w:rPr>
      </w:pPr>
    </w:p>
    <w:p w:rsidR="00AF49EB" w:rsidRPr="007012D2" w:rsidRDefault="00AF49EB" w:rsidP="00AF49EB">
      <w:pPr>
        <w:rPr>
          <w:rFonts w:cs="Arial"/>
          <w:sz w:val="22"/>
          <w:u w:val="single"/>
        </w:rPr>
      </w:pPr>
      <w:r w:rsidRPr="007012D2">
        <w:rPr>
          <w:rFonts w:cs="Arial"/>
          <w:sz w:val="22"/>
          <w:u w:val="single"/>
        </w:rPr>
        <w:t xml:space="preserve">Innovación: </w:t>
      </w:r>
    </w:p>
    <w:p w:rsidR="00AF49EB" w:rsidRPr="007012D2" w:rsidRDefault="00AF49EB" w:rsidP="00AF49EB">
      <w:pPr>
        <w:rPr>
          <w:rFonts w:cs="Arial"/>
          <w:b/>
          <w:sz w:val="22"/>
        </w:rPr>
      </w:pPr>
      <w:r w:rsidRPr="007012D2">
        <w:rPr>
          <w:rFonts w:cs="Arial"/>
          <w:b/>
          <w:sz w:val="22"/>
        </w:rPr>
        <w:t>Interoperabilidad de Peajes Electrónicos con Recaudo Electrónico Vehicular</w:t>
      </w:r>
    </w:p>
    <w:p w:rsidR="00AF49EB" w:rsidRPr="005B7D72" w:rsidRDefault="00AF49EB" w:rsidP="00AF49EB">
      <w:pPr>
        <w:rPr>
          <w:rFonts w:cs="Arial"/>
          <w:sz w:val="14"/>
        </w:rPr>
      </w:pPr>
    </w:p>
    <w:p w:rsidR="00AF49EB" w:rsidRPr="007012D2" w:rsidRDefault="00AF49EB" w:rsidP="00AF49EB">
      <w:pPr>
        <w:rPr>
          <w:rFonts w:cs="Arial"/>
          <w:sz w:val="22"/>
        </w:rPr>
      </w:pPr>
      <w:r w:rsidRPr="007012D2">
        <w:rPr>
          <w:rFonts w:cs="Arial"/>
          <w:sz w:val="22"/>
        </w:rPr>
        <w:t>El objetivo del proyecto de interoperabilidad con Recaudo Electrónico Vehicular es establecer la reglamentación que permita que un usuario con un vehículo pueda transitar por todos los peajes del país con un único dispositivo a bordo o TAG, pudiendo este pagar el servicio con diferentes métodos de pago (prepagos, pospago, entre otros) y productos financieros (tarjetas crédito y débito).</w:t>
      </w:r>
    </w:p>
    <w:p w:rsidR="00AF49EB" w:rsidRPr="005B7D72" w:rsidRDefault="00AF49EB" w:rsidP="00AF49EB">
      <w:pPr>
        <w:rPr>
          <w:rFonts w:cs="Arial"/>
          <w:sz w:val="14"/>
        </w:rPr>
      </w:pPr>
    </w:p>
    <w:p w:rsidR="00AF49EB" w:rsidRPr="007012D2" w:rsidRDefault="00AF49EB" w:rsidP="00AF49EB">
      <w:pPr>
        <w:rPr>
          <w:rFonts w:cs="Arial"/>
          <w:sz w:val="22"/>
        </w:rPr>
      </w:pPr>
      <w:r w:rsidRPr="007012D2">
        <w:rPr>
          <w:rFonts w:cs="Arial"/>
          <w:sz w:val="22"/>
        </w:rPr>
        <w:t>La implementación del esquema nacional de interoperabilidad trae numerosas ventajas tanto para el conjunto de concesionarios y operadores de la red vial, que podrán optimizar sus inversiones en infraestructura (CAPEX) y de operación de la misma (OPEX); como al ciudadano usuario del sistema, bien tenga un vehículo particular, o sea del gremio del transporte de carga o de pasajeros, en general todos los usuarios de la Red Vial Nacional.</w:t>
      </w:r>
    </w:p>
    <w:p w:rsidR="00AF49EB" w:rsidRPr="005B7D72" w:rsidRDefault="00AF49EB" w:rsidP="00AF49EB">
      <w:pPr>
        <w:rPr>
          <w:rFonts w:cs="Arial"/>
          <w:sz w:val="14"/>
        </w:rPr>
      </w:pPr>
    </w:p>
    <w:p w:rsidR="00AF49EB" w:rsidRPr="007012D2" w:rsidRDefault="00AF49EB" w:rsidP="00AF49EB">
      <w:pPr>
        <w:rPr>
          <w:rFonts w:cs="Arial"/>
          <w:sz w:val="22"/>
        </w:rPr>
      </w:pPr>
      <w:r w:rsidRPr="007012D2">
        <w:rPr>
          <w:rFonts w:cs="Arial"/>
          <w:sz w:val="22"/>
        </w:rPr>
        <w:t>Entre estas ventajas, se destacan las siguientes cuatro:</w:t>
      </w:r>
    </w:p>
    <w:p w:rsidR="00AF49EB" w:rsidRPr="007012D2" w:rsidRDefault="00AF49EB" w:rsidP="00442CAC">
      <w:pPr>
        <w:pStyle w:val="Prrafodelista"/>
        <w:numPr>
          <w:ilvl w:val="0"/>
          <w:numId w:val="33"/>
        </w:numPr>
        <w:rPr>
          <w:rFonts w:cs="Arial"/>
          <w:sz w:val="22"/>
        </w:rPr>
      </w:pPr>
      <w:r w:rsidRPr="007012D2">
        <w:rPr>
          <w:rFonts w:cs="Arial"/>
          <w:sz w:val="22"/>
        </w:rPr>
        <w:t>Primero, logra un aumento en la competitividad del país reduciendo los tiempos de paso y las congestiones en los peajes, lo que es igual a menores tiempos de viajes, ahorros en combustible y algo muy importante disminuye la huella de contaminación causada por las emisiones de gases vehiculares.</w:t>
      </w:r>
    </w:p>
    <w:p w:rsidR="00AF49EB" w:rsidRPr="007012D2" w:rsidRDefault="00AF49EB" w:rsidP="00442CAC">
      <w:pPr>
        <w:pStyle w:val="Prrafodelista"/>
        <w:numPr>
          <w:ilvl w:val="0"/>
          <w:numId w:val="33"/>
        </w:numPr>
        <w:rPr>
          <w:rFonts w:cs="Arial"/>
          <w:sz w:val="22"/>
        </w:rPr>
      </w:pPr>
      <w:r w:rsidRPr="007012D2">
        <w:rPr>
          <w:rFonts w:cs="Arial"/>
          <w:sz w:val="22"/>
        </w:rPr>
        <w:t>Segundo, aumenta la seguridad en las vías, ya que elimina el uso de dinero en efectivo. Esta es una opción muy relevante especialmente para los usuarios más frecuentes de nuestras vías, el Gremio de transporte de carga y pasajeros, que podrán pagar los peajes electrónicamente, asociando toda su flota a un producto financiero de su elección, pre o pospago, y con la entidad bancaria que prefieran.</w:t>
      </w:r>
    </w:p>
    <w:p w:rsidR="00AF49EB" w:rsidRPr="007012D2" w:rsidRDefault="00AF49EB" w:rsidP="00442CAC">
      <w:pPr>
        <w:pStyle w:val="Prrafodelista"/>
        <w:numPr>
          <w:ilvl w:val="0"/>
          <w:numId w:val="33"/>
        </w:numPr>
        <w:rPr>
          <w:rFonts w:cs="Arial"/>
          <w:sz w:val="22"/>
        </w:rPr>
      </w:pPr>
      <w:r w:rsidRPr="007012D2">
        <w:rPr>
          <w:rFonts w:cs="Arial"/>
          <w:sz w:val="22"/>
        </w:rPr>
        <w:lastRenderedPageBreak/>
        <w:t>Tercero, se disminuyen costos CAPEX, ya que serán necesarios menor número de carriles para procesar los tráficos estimados, lo que implica menos infraestructura y predios, y OPEX ya que una vez automatizado el proceso, no requiere de mayores inversiones de funcionamiento y, por supuesto, se elimina todo posible fraude.</w:t>
      </w:r>
    </w:p>
    <w:p w:rsidR="00AF49EB" w:rsidRPr="007012D2" w:rsidRDefault="00AF49EB" w:rsidP="00442CAC">
      <w:pPr>
        <w:pStyle w:val="Prrafodelista"/>
        <w:numPr>
          <w:ilvl w:val="0"/>
          <w:numId w:val="33"/>
        </w:numPr>
        <w:rPr>
          <w:rFonts w:cs="Arial"/>
          <w:sz w:val="22"/>
        </w:rPr>
      </w:pPr>
      <w:r w:rsidRPr="007012D2">
        <w:rPr>
          <w:rFonts w:cs="Arial"/>
          <w:sz w:val="22"/>
        </w:rPr>
        <w:t>Y por último, pero no menos importante, las empresas Intermediadoras que se certifiquen para proveer TAGs, podrán ofrecer servicios de valor añadido a sus Usuarios.  Es decir, la identificación electrónica que proporciona al vehículo este dispositivo, podrá ser usada para realizar un sinfín de acciones cotidianas como: pago en estaciones de servicios, gasolineras, parqueaderos, SOAT, revisiones técnico mecánicas, etc.</w:t>
      </w:r>
    </w:p>
    <w:p w:rsidR="00664C45" w:rsidRPr="005B7D72" w:rsidRDefault="00664C45" w:rsidP="00AF49EB">
      <w:pPr>
        <w:rPr>
          <w:rFonts w:cs="Arial"/>
          <w:sz w:val="14"/>
        </w:rPr>
      </w:pPr>
    </w:p>
    <w:p w:rsidR="00AF49EB" w:rsidRPr="007012D2" w:rsidRDefault="00AF49EB" w:rsidP="00AF49EB">
      <w:pPr>
        <w:rPr>
          <w:rFonts w:cs="Arial"/>
          <w:b/>
          <w:sz w:val="22"/>
        </w:rPr>
      </w:pPr>
      <w:r w:rsidRPr="007012D2">
        <w:rPr>
          <w:rFonts w:cs="Arial"/>
          <w:b/>
          <w:sz w:val="22"/>
        </w:rPr>
        <w:t xml:space="preserve">Logros </w:t>
      </w:r>
    </w:p>
    <w:p w:rsidR="00AF49EB" w:rsidRPr="007012D2" w:rsidRDefault="00AF49EB" w:rsidP="00AF49EB">
      <w:pPr>
        <w:rPr>
          <w:rFonts w:cs="Arial"/>
          <w:sz w:val="22"/>
        </w:rPr>
      </w:pPr>
      <w:r w:rsidRPr="007012D2">
        <w:rPr>
          <w:rFonts w:cs="Arial"/>
          <w:sz w:val="22"/>
        </w:rPr>
        <w:t>Para lograr lo anterior se construyó y expidió un marco normativo compuesto por 2 Resoluciones lideradas desde el Ministerio de Transporte, y en el que han contribuido diferentes actores del sector INVIAS y ANI, y entidades de los diferentes organismos de control.</w:t>
      </w:r>
    </w:p>
    <w:p w:rsidR="00AF49EB" w:rsidRPr="005B7D72" w:rsidRDefault="00AF49EB" w:rsidP="00AF49EB">
      <w:pPr>
        <w:rPr>
          <w:rFonts w:cs="Arial"/>
          <w:sz w:val="12"/>
        </w:rPr>
      </w:pPr>
    </w:p>
    <w:p w:rsidR="00DB4B45" w:rsidRPr="007012D2" w:rsidRDefault="00AF49EB" w:rsidP="00AF49EB">
      <w:pPr>
        <w:rPr>
          <w:rFonts w:cs="Arial"/>
          <w:sz w:val="22"/>
        </w:rPr>
      </w:pPr>
      <w:r w:rsidRPr="007012D2">
        <w:rPr>
          <w:rFonts w:cs="Arial"/>
          <w:sz w:val="22"/>
        </w:rPr>
        <w:t>La primera resolución establece la reglamentación para la prestación del servicio de peajes electrónicos, así mismo define los actores, como estos se certifican, sus roles en el sistema y entre otros. También se incluye la marca nacional de peajes electrónicos COLPASS la cual permitirá al usuario reconocer por cuales peajes podrá transitar, así como el modelo de operación y funcionamiento del sistema de peajes electrónicos</w:t>
      </w:r>
    </w:p>
    <w:p w:rsidR="00DB4B45" w:rsidRPr="007012D2" w:rsidRDefault="00DB4B45" w:rsidP="00DB4B45">
      <w:pPr>
        <w:rPr>
          <w:rFonts w:cs="Arial"/>
          <w:sz w:val="22"/>
        </w:rPr>
      </w:pPr>
    </w:p>
    <w:p w:rsidR="00AF49EB" w:rsidRPr="007012D2" w:rsidRDefault="00AF49EB" w:rsidP="00AF49EB">
      <w:pPr>
        <w:jc w:val="center"/>
        <w:rPr>
          <w:rFonts w:cs="Arial"/>
          <w:sz w:val="22"/>
        </w:rPr>
      </w:pPr>
      <w:r w:rsidRPr="007012D2">
        <w:rPr>
          <w:rFonts w:cs="Calibri"/>
          <w:noProof/>
          <w:sz w:val="22"/>
          <w:lang w:val="es-CO" w:eastAsia="es-CO"/>
        </w:rPr>
        <w:drawing>
          <wp:inline distT="0" distB="0" distL="0" distR="0">
            <wp:extent cx="3924300" cy="22108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r="1222"/>
                    <a:stretch>
                      <a:fillRect/>
                    </a:stretch>
                  </pic:blipFill>
                  <pic:spPr bwMode="auto">
                    <a:xfrm>
                      <a:off x="0" y="0"/>
                      <a:ext cx="3931893" cy="2215151"/>
                    </a:xfrm>
                    <a:prstGeom prst="rect">
                      <a:avLst/>
                    </a:prstGeom>
                    <a:noFill/>
                    <a:ln>
                      <a:noFill/>
                    </a:ln>
                  </pic:spPr>
                </pic:pic>
              </a:graphicData>
            </a:graphic>
          </wp:inline>
        </w:drawing>
      </w:r>
    </w:p>
    <w:p w:rsidR="00AF49EB" w:rsidRPr="007012D2" w:rsidRDefault="00AF49EB" w:rsidP="00AF49EB">
      <w:pPr>
        <w:rPr>
          <w:rFonts w:cs="Arial"/>
          <w:sz w:val="22"/>
        </w:rPr>
      </w:pPr>
      <w:r w:rsidRPr="007012D2">
        <w:rPr>
          <w:rFonts w:cs="Arial"/>
          <w:sz w:val="22"/>
        </w:rPr>
        <w:lastRenderedPageBreak/>
        <w:t>La segunda resolución, fija las condiciones mínimas de prestación de servicio entre los diferentes actores y de estos a los usuarios, así mismo adopta la Oferta Básica de Interoperabilidad e incluye un anexo técnico que describe los estándares técnicos bajo los cuales se realizará el intercambios de información (formatos, frecuencias, y demás)</w:t>
      </w:r>
    </w:p>
    <w:p w:rsidR="00AF49EB" w:rsidRPr="007012D2" w:rsidRDefault="00AF49EB" w:rsidP="00AF49EB">
      <w:pPr>
        <w:jc w:val="center"/>
        <w:rPr>
          <w:rFonts w:cs="Arial"/>
          <w:sz w:val="22"/>
        </w:rPr>
      </w:pPr>
      <w:r w:rsidRPr="007012D2">
        <w:rPr>
          <w:rFonts w:cs="Calibri"/>
          <w:noProof/>
          <w:sz w:val="22"/>
          <w:lang w:val="es-CO" w:eastAsia="es-CO"/>
        </w:rPr>
        <w:drawing>
          <wp:inline distT="0" distB="0" distL="0" distR="0">
            <wp:extent cx="4210050" cy="22895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406" cy="2294632"/>
                    </a:xfrm>
                    <a:prstGeom prst="rect">
                      <a:avLst/>
                    </a:prstGeom>
                    <a:noFill/>
                    <a:ln>
                      <a:noFill/>
                    </a:ln>
                  </pic:spPr>
                </pic:pic>
              </a:graphicData>
            </a:graphic>
          </wp:inline>
        </w:drawing>
      </w:r>
    </w:p>
    <w:p w:rsidR="00AF49EB" w:rsidRPr="002D5666" w:rsidRDefault="00AF49EB" w:rsidP="00AF49EB">
      <w:pPr>
        <w:rPr>
          <w:rFonts w:cs="Arial"/>
          <w:sz w:val="12"/>
        </w:rPr>
      </w:pPr>
    </w:p>
    <w:p w:rsidR="00AF49EB" w:rsidRPr="007012D2" w:rsidRDefault="00AF49EB" w:rsidP="00AF49EB">
      <w:pPr>
        <w:rPr>
          <w:rFonts w:cs="Arial"/>
          <w:sz w:val="22"/>
        </w:rPr>
      </w:pPr>
      <w:r w:rsidRPr="007012D2">
        <w:rPr>
          <w:rFonts w:cs="Arial"/>
          <w:sz w:val="22"/>
        </w:rPr>
        <w:t>Paralelamente, el Ministerio de Transporte construyó el SiGT o Sistema de Gestión de Transacciones, la cual tiene varias funcionalidades.</w:t>
      </w:r>
    </w:p>
    <w:p w:rsidR="00AF49EB" w:rsidRPr="002D5666" w:rsidRDefault="00AF49EB" w:rsidP="00AF49EB">
      <w:pPr>
        <w:rPr>
          <w:rFonts w:cs="Arial"/>
          <w:sz w:val="12"/>
        </w:rPr>
      </w:pPr>
    </w:p>
    <w:p w:rsidR="00AF49EB" w:rsidRPr="007012D2" w:rsidRDefault="00AF49EB" w:rsidP="00442CAC">
      <w:pPr>
        <w:pStyle w:val="Prrafodelista"/>
        <w:numPr>
          <w:ilvl w:val="0"/>
          <w:numId w:val="34"/>
        </w:numPr>
        <w:rPr>
          <w:rFonts w:cs="Arial"/>
          <w:sz w:val="22"/>
        </w:rPr>
      </w:pPr>
      <w:r w:rsidRPr="007012D2">
        <w:rPr>
          <w:rFonts w:cs="Arial"/>
          <w:sz w:val="22"/>
        </w:rPr>
        <w:t>La primera es la certificación de los actores, la cual permite que estos puedan realizar todos los trámites relacionados a través de internet.</w:t>
      </w:r>
    </w:p>
    <w:p w:rsidR="00AF49EB" w:rsidRPr="007012D2" w:rsidRDefault="00AF49EB" w:rsidP="00442CAC">
      <w:pPr>
        <w:pStyle w:val="Prrafodelista"/>
        <w:numPr>
          <w:ilvl w:val="0"/>
          <w:numId w:val="34"/>
        </w:numPr>
        <w:rPr>
          <w:rFonts w:cs="Arial"/>
          <w:sz w:val="22"/>
        </w:rPr>
      </w:pPr>
      <w:r w:rsidRPr="007012D2">
        <w:rPr>
          <w:rFonts w:cs="Arial"/>
          <w:sz w:val="22"/>
        </w:rPr>
        <w:t>De igual manera, sirve como herramienta de pruebas de interoperabilidad, con la  cual los actores podrán verificar sus sistemas y el correcto intercambio de información previo a su certificación.</w:t>
      </w:r>
    </w:p>
    <w:p w:rsidR="00AF49EB" w:rsidRPr="007012D2" w:rsidRDefault="00AF49EB" w:rsidP="00442CAC">
      <w:pPr>
        <w:pStyle w:val="Prrafodelista"/>
        <w:numPr>
          <w:ilvl w:val="0"/>
          <w:numId w:val="34"/>
        </w:numPr>
        <w:rPr>
          <w:rFonts w:cs="Arial"/>
          <w:sz w:val="22"/>
        </w:rPr>
      </w:pPr>
      <w:r w:rsidRPr="007012D2">
        <w:rPr>
          <w:rFonts w:cs="Arial"/>
          <w:sz w:val="22"/>
        </w:rPr>
        <w:t>Asimismo, servirá para asignar números únicos a los TAGs, los cuales se obtendrán aleatoriamente del rango asignado a Colombia, y no serán nunca consecutivos, siendo esta característica un parámetro crucial de seguridad del sistema.</w:t>
      </w:r>
    </w:p>
    <w:p w:rsidR="00AF49EB" w:rsidRPr="007012D2" w:rsidRDefault="00AF49EB" w:rsidP="00442CAC">
      <w:pPr>
        <w:pStyle w:val="Prrafodelista"/>
        <w:numPr>
          <w:ilvl w:val="0"/>
          <w:numId w:val="34"/>
        </w:numPr>
        <w:rPr>
          <w:rFonts w:cs="Arial"/>
          <w:sz w:val="22"/>
        </w:rPr>
      </w:pPr>
      <w:r w:rsidRPr="007012D2">
        <w:rPr>
          <w:rFonts w:cs="Arial"/>
          <w:sz w:val="22"/>
        </w:rPr>
        <w:t>Y finalmente, este sistema almacenará toda la información de peajes electrónicos a nivel nacional, y será el banco de datos que nos ayudará a tomar mejores decisiones en la planeación Nacional de transporte a futuro.</w:t>
      </w:r>
    </w:p>
    <w:p w:rsidR="00AF49EB" w:rsidRPr="002D5666" w:rsidRDefault="00AF49EB" w:rsidP="00AF49EB">
      <w:pPr>
        <w:rPr>
          <w:rFonts w:cs="Arial"/>
          <w:sz w:val="12"/>
        </w:rPr>
      </w:pPr>
    </w:p>
    <w:p w:rsidR="00AF49EB" w:rsidRPr="007012D2" w:rsidRDefault="00AF49EB" w:rsidP="00AF49EB">
      <w:pPr>
        <w:rPr>
          <w:rFonts w:cs="Arial"/>
          <w:sz w:val="22"/>
        </w:rPr>
      </w:pPr>
      <w:r w:rsidRPr="007012D2">
        <w:rPr>
          <w:rFonts w:cs="Arial"/>
          <w:sz w:val="22"/>
        </w:rPr>
        <w:t xml:space="preserve">De esta manera, se fijó el marco regulatorio y se desarrolló toda la plataforma tecnológica que permite la interoperabilidad de peajes electrónicos de todas las concesiones viales y </w:t>
      </w:r>
      <w:r w:rsidRPr="007012D2">
        <w:rPr>
          <w:rFonts w:cs="Arial"/>
          <w:sz w:val="22"/>
        </w:rPr>
        <w:lastRenderedPageBreak/>
        <w:t>de recaudo y los diferentes interesados en certificarse como intermediadores, lo que finalmente se traduce en beneficios para los usuarios de las vías nacionales.</w:t>
      </w:r>
    </w:p>
    <w:p w:rsidR="00AF49EB" w:rsidRPr="002D5666" w:rsidRDefault="00AF49EB" w:rsidP="00AF49EB">
      <w:pPr>
        <w:rPr>
          <w:rFonts w:cs="Arial"/>
          <w:sz w:val="12"/>
        </w:rPr>
      </w:pPr>
    </w:p>
    <w:p w:rsidR="00AF49EB" w:rsidRPr="007012D2" w:rsidRDefault="00AF49EB" w:rsidP="00AF49EB">
      <w:pPr>
        <w:rPr>
          <w:rFonts w:cs="Arial"/>
          <w:b/>
          <w:sz w:val="22"/>
        </w:rPr>
      </w:pPr>
      <w:r w:rsidRPr="007012D2">
        <w:rPr>
          <w:rFonts w:cs="Arial"/>
          <w:b/>
          <w:sz w:val="22"/>
        </w:rPr>
        <w:t>Próximos pasos</w:t>
      </w:r>
    </w:p>
    <w:p w:rsidR="00AF49EB" w:rsidRPr="007012D2" w:rsidRDefault="00AF49EB" w:rsidP="00AF49EB">
      <w:pPr>
        <w:rPr>
          <w:rFonts w:cs="Arial"/>
          <w:sz w:val="22"/>
        </w:rPr>
      </w:pPr>
      <w:r w:rsidRPr="007012D2">
        <w:rPr>
          <w:rFonts w:cs="Arial"/>
          <w:sz w:val="22"/>
        </w:rPr>
        <w:t>Se prevé que una vez se implementen los peajes electrónicos en Colombia se inicié la nueva fase que reglamentará los peajes de flujo libre o MultiLane Free Flow, que entre otros permitirá la creación de nuevos proyectos de peajes urbanos sin talanquera, aumentando así las transacciones procesadas y mitigando los riesgos de colas en los peajes.</w:t>
      </w:r>
    </w:p>
    <w:p w:rsidR="00AF49EB" w:rsidRPr="002D5666" w:rsidRDefault="00AF49EB" w:rsidP="00DB4B45">
      <w:pPr>
        <w:rPr>
          <w:rFonts w:cs="Arial"/>
          <w:sz w:val="14"/>
        </w:rPr>
      </w:pPr>
    </w:p>
    <w:p w:rsidR="001C7E2C" w:rsidRPr="007012D2" w:rsidRDefault="001C7E2C" w:rsidP="001C7E2C">
      <w:pPr>
        <w:rPr>
          <w:rFonts w:cs="Arial"/>
          <w:sz w:val="22"/>
          <w:u w:val="single"/>
        </w:rPr>
      </w:pPr>
      <w:r w:rsidRPr="007012D2">
        <w:rPr>
          <w:rFonts w:cs="Arial"/>
          <w:sz w:val="22"/>
          <w:u w:val="single"/>
        </w:rPr>
        <w:t>Fortalecimiento de los sistemas de información geográficos - SINC</w:t>
      </w:r>
    </w:p>
    <w:p w:rsidR="001C7E2C" w:rsidRPr="007012D2" w:rsidRDefault="001C7E2C" w:rsidP="00442CAC">
      <w:pPr>
        <w:pStyle w:val="Prrafodelista"/>
        <w:numPr>
          <w:ilvl w:val="0"/>
          <w:numId w:val="35"/>
        </w:numPr>
        <w:rPr>
          <w:rFonts w:cs="Arial"/>
          <w:sz w:val="22"/>
        </w:rPr>
      </w:pPr>
      <w:r w:rsidRPr="007012D2">
        <w:rPr>
          <w:rFonts w:cs="Arial"/>
          <w:sz w:val="22"/>
        </w:rPr>
        <w:t>El SINC es un sistema público de información único nacional conformado por la información correspondiente a las carreteras a cargo de la Nación, de los departamentos, los municipios y los distritos especiales, que conformarán el inventario nacional de carreteras.</w:t>
      </w:r>
    </w:p>
    <w:p w:rsidR="001C7E2C" w:rsidRPr="007012D2" w:rsidRDefault="001C7E2C" w:rsidP="00442CAC">
      <w:pPr>
        <w:pStyle w:val="Prrafodelista"/>
        <w:numPr>
          <w:ilvl w:val="0"/>
          <w:numId w:val="35"/>
        </w:numPr>
        <w:rPr>
          <w:rFonts w:cs="Arial"/>
          <w:sz w:val="22"/>
        </w:rPr>
      </w:pPr>
      <w:r w:rsidRPr="007012D2">
        <w:rPr>
          <w:rFonts w:cs="Arial"/>
          <w:sz w:val="22"/>
        </w:rPr>
        <w:t xml:space="preserve">Con el propósito de responder los hallazgos reportados por la Contraloría General de la República con relación al SINC, se actualizó la plataforma de desarrollo que estaba definida como ArcGIS y se diseñaron nuevas funcionalidades. </w:t>
      </w:r>
    </w:p>
    <w:p w:rsidR="00AF49EB" w:rsidRPr="007012D2" w:rsidRDefault="001C7E2C" w:rsidP="00442CAC">
      <w:pPr>
        <w:pStyle w:val="Prrafodelista"/>
        <w:numPr>
          <w:ilvl w:val="0"/>
          <w:numId w:val="35"/>
        </w:numPr>
        <w:rPr>
          <w:rFonts w:cs="Arial"/>
          <w:sz w:val="22"/>
        </w:rPr>
      </w:pPr>
      <w:r w:rsidRPr="007012D2">
        <w:rPr>
          <w:rFonts w:cs="Arial"/>
          <w:sz w:val="22"/>
        </w:rPr>
        <w:t>Los hallazgos resueltos con la nueva versión del SINC fueron:</w:t>
      </w:r>
    </w:p>
    <w:p w:rsidR="00AF49EB" w:rsidRPr="002D5666" w:rsidRDefault="00AF49EB" w:rsidP="00DB4B45">
      <w:pPr>
        <w:rPr>
          <w:rFonts w:cs="Arial"/>
          <w:sz w:val="16"/>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134"/>
        <w:gridCol w:w="1417"/>
        <w:gridCol w:w="1418"/>
        <w:gridCol w:w="1132"/>
        <w:gridCol w:w="1729"/>
      </w:tblGrid>
      <w:tr w:rsidR="001C7E2C" w:rsidRPr="002D5666" w:rsidTr="00226636">
        <w:trPr>
          <w:trHeight w:val="270"/>
          <w:jc w:val="center"/>
        </w:trPr>
        <w:tc>
          <w:tcPr>
            <w:tcW w:w="1245" w:type="dxa"/>
            <w:shd w:val="clear" w:color="auto" w:fill="auto"/>
            <w:noWrap/>
            <w:hideMark/>
          </w:tcPr>
          <w:p w:rsidR="001C7E2C" w:rsidRPr="002D5666" w:rsidRDefault="001C7E2C" w:rsidP="005D402E">
            <w:pPr>
              <w:jc w:val="center"/>
              <w:rPr>
                <w:rFonts w:eastAsia="Times New Roman" w:cs="Calibri"/>
                <w:b/>
                <w:bCs/>
                <w:color w:val="000000"/>
                <w:sz w:val="16"/>
                <w:lang w:eastAsia="es-CO"/>
              </w:rPr>
            </w:pPr>
            <w:r w:rsidRPr="002D5666">
              <w:rPr>
                <w:rFonts w:eastAsia="Times New Roman" w:cs="Calibri"/>
                <w:b/>
                <w:bCs/>
                <w:color w:val="000000"/>
                <w:sz w:val="16"/>
                <w:lang w:eastAsia="es-CO"/>
              </w:rPr>
              <w:t>HALLAZGO</w:t>
            </w:r>
          </w:p>
        </w:tc>
        <w:tc>
          <w:tcPr>
            <w:tcW w:w="1134" w:type="dxa"/>
            <w:shd w:val="clear" w:color="auto" w:fill="auto"/>
            <w:noWrap/>
            <w:hideMark/>
          </w:tcPr>
          <w:p w:rsidR="001C7E2C" w:rsidRPr="002D5666" w:rsidRDefault="001C7E2C" w:rsidP="005D402E">
            <w:pPr>
              <w:jc w:val="center"/>
              <w:rPr>
                <w:rFonts w:eastAsia="Times New Roman" w:cs="Calibri"/>
                <w:b/>
                <w:bCs/>
                <w:color w:val="000000"/>
                <w:sz w:val="16"/>
                <w:lang w:eastAsia="es-CO"/>
              </w:rPr>
            </w:pPr>
            <w:r w:rsidRPr="002D5666">
              <w:rPr>
                <w:rFonts w:eastAsia="Times New Roman" w:cs="Calibri"/>
                <w:b/>
                <w:bCs/>
                <w:color w:val="000000"/>
                <w:sz w:val="16"/>
                <w:lang w:eastAsia="es-CO"/>
              </w:rPr>
              <w:t>VIGENCIA</w:t>
            </w:r>
          </w:p>
        </w:tc>
        <w:tc>
          <w:tcPr>
            <w:tcW w:w="1417" w:type="dxa"/>
            <w:shd w:val="clear" w:color="auto" w:fill="auto"/>
            <w:hideMark/>
          </w:tcPr>
          <w:p w:rsidR="001C7E2C" w:rsidRPr="002D5666" w:rsidRDefault="001C7E2C" w:rsidP="005D402E">
            <w:pPr>
              <w:jc w:val="center"/>
              <w:rPr>
                <w:rFonts w:eastAsia="Times New Roman" w:cs="Calibri"/>
                <w:b/>
                <w:bCs/>
                <w:color w:val="000000"/>
                <w:sz w:val="16"/>
                <w:lang w:eastAsia="es-CO"/>
              </w:rPr>
            </w:pPr>
            <w:r w:rsidRPr="002D5666">
              <w:rPr>
                <w:rFonts w:eastAsia="Times New Roman" w:cs="Calibri"/>
                <w:b/>
                <w:bCs/>
                <w:color w:val="000000"/>
                <w:sz w:val="16"/>
                <w:lang w:eastAsia="es-CO"/>
              </w:rPr>
              <w:t>INICIO</w:t>
            </w:r>
          </w:p>
        </w:tc>
        <w:tc>
          <w:tcPr>
            <w:tcW w:w="1418" w:type="dxa"/>
            <w:shd w:val="clear" w:color="auto" w:fill="auto"/>
            <w:noWrap/>
            <w:hideMark/>
          </w:tcPr>
          <w:p w:rsidR="001C7E2C" w:rsidRPr="002D5666" w:rsidRDefault="001C7E2C" w:rsidP="005D402E">
            <w:pPr>
              <w:jc w:val="center"/>
              <w:rPr>
                <w:rFonts w:eastAsia="Times New Roman" w:cs="Calibri"/>
                <w:b/>
                <w:bCs/>
                <w:color w:val="000000"/>
                <w:sz w:val="16"/>
                <w:lang w:eastAsia="es-CO"/>
              </w:rPr>
            </w:pPr>
            <w:r w:rsidRPr="002D5666">
              <w:rPr>
                <w:rFonts w:eastAsia="Times New Roman" w:cs="Calibri"/>
                <w:b/>
                <w:bCs/>
                <w:color w:val="000000"/>
                <w:sz w:val="16"/>
                <w:lang w:eastAsia="es-CO"/>
              </w:rPr>
              <w:t>FINAL</w:t>
            </w:r>
          </w:p>
        </w:tc>
        <w:tc>
          <w:tcPr>
            <w:tcW w:w="1132" w:type="dxa"/>
            <w:shd w:val="clear" w:color="auto" w:fill="auto"/>
            <w:noWrap/>
            <w:hideMark/>
          </w:tcPr>
          <w:p w:rsidR="001C7E2C" w:rsidRPr="002D5666" w:rsidRDefault="001C7E2C" w:rsidP="005D402E">
            <w:pPr>
              <w:jc w:val="center"/>
              <w:rPr>
                <w:rFonts w:eastAsia="Times New Roman" w:cs="Calibri"/>
                <w:b/>
                <w:bCs/>
                <w:color w:val="000000"/>
                <w:sz w:val="16"/>
                <w:lang w:eastAsia="es-CO"/>
              </w:rPr>
            </w:pPr>
            <w:r w:rsidRPr="002D5666">
              <w:rPr>
                <w:rFonts w:eastAsia="Times New Roman" w:cs="Calibri"/>
                <w:b/>
                <w:bCs/>
                <w:color w:val="000000"/>
                <w:sz w:val="16"/>
                <w:lang w:eastAsia="es-CO"/>
              </w:rPr>
              <w:t>SISTEMA</w:t>
            </w:r>
          </w:p>
        </w:tc>
        <w:tc>
          <w:tcPr>
            <w:tcW w:w="1729" w:type="dxa"/>
            <w:shd w:val="clear" w:color="auto" w:fill="auto"/>
            <w:hideMark/>
          </w:tcPr>
          <w:p w:rsidR="001C7E2C" w:rsidRPr="002D5666" w:rsidRDefault="001C7E2C" w:rsidP="005D402E">
            <w:pPr>
              <w:jc w:val="center"/>
              <w:rPr>
                <w:rFonts w:eastAsia="Times New Roman" w:cs="Calibri"/>
                <w:b/>
                <w:bCs/>
                <w:color w:val="000000"/>
                <w:sz w:val="16"/>
                <w:lang w:eastAsia="es-CO"/>
              </w:rPr>
            </w:pPr>
            <w:r w:rsidRPr="002D5666">
              <w:rPr>
                <w:rFonts w:eastAsia="Times New Roman" w:cs="Calibri"/>
                <w:b/>
                <w:bCs/>
                <w:color w:val="000000"/>
                <w:sz w:val="16"/>
                <w:lang w:eastAsia="es-CO"/>
              </w:rPr>
              <w:t>SOLUCIÓN</w:t>
            </w:r>
          </w:p>
        </w:tc>
      </w:tr>
      <w:tr w:rsidR="001C7E2C" w:rsidRPr="002D5666" w:rsidTr="002D5666">
        <w:trPr>
          <w:trHeight w:val="567"/>
          <w:jc w:val="center"/>
        </w:trPr>
        <w:tc>
          <w:tcPr>
            <w:tcW w:w="1245" w:type="dxa"/>
            <w:shd w:val="clear" w:color="auto" w:fill="auto"/>
            <w:noWrap/>
            <w:vAlign w:val="center"/>
            <w:hideMark/>
          </w:tcPr>
          <w:p w:rsidR="001C7E2C" w:rsidRPr="002D5666" w:rsidRDefault="001C7E2C" w:rsidP="001C7E2C">
            <w:pPr>
              <w:jc w:val="center"/>
              <w:rPr>
                <w:rFonts w:eastAsia="Times New Roman" w:cs="Calibri"/>
                <w:bCs/>
                <w:color w:val="000000"/>
                <w:sz w:val="16"/>
                <w:lang w:eastAsia="es-CO"/>
              </w:rPr>
            </w:pPr>
            <w:r w:rsidRPr="002D5666">
              <w:rPr>
                <w:rFonts w:eastAsia="Times New Roman" w:cs="Calibri"/>
                <w:bCs/>
                <w:color w:val="000000"/>
                <w:sz w:val="16"/>
                <w:lang w:eastAsia="es-CO"/>
              </w:rPr>
              <w:t>45</w:t>
            </w:r>
          </w:p>
        </w:tc>
        <w:tc>
          <w:tcPr>
            <w:tcW w:w="1134"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2014</w:t>
            </w:r>
          </w:p>
        </w:tc>
        <w:tc>
          <w:tcPr>
            <w:tcW w:w="1417"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15/02/2016</w:t>
            </w:r>
          </w:p>
        </w:tc>
        <w:tc>
          <w:tcPr>
            <w:tcW w:w="1418"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31/12/2016</w:t>
            </w:r>
          </w:p>
        </w:tc>
        <w:tc>
          <w:tcPr>
            <w:tcW w:w="1132"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SIGVIAL</w:t>
            </w:r>
          </w:p>
        </w:tc>
        <w:tc>
          <w:tcPr>
            <w:tcW w:w="1729" w:type="dxa"/>
            <w:shd w:val="clear" w:color="auto" w:fill="auto"/>
            <w:vAlign w:val="center"/>
            <w:hideMark/>
          </w:tcPr>
          <w:p w:rsidR="001C7E2C" w:rsidRPr="002D5666" w:rsidRDefault="001C7E2C" w:rsidP="001C7E2C">
            <w:pPr>
              <w:tabs>
                <w:tab w:val="left" w:pos="68"/>
              </w:tabs>
              <w:jc w:val="center"/>
              <w:rPr>
                <w:rFonts w:eastAsia="Times New Roman" w:cs="Calibri"/>
                <w:color w:val="000000"/>
                <w:sz w:val="16"/>
                <w:lang w:eastAsia="es-CO"/>
              </w:rPr>
            </w:pPr>
            <w:r w:rsidRPr="002D5666">
              <w:rPr>
                <w:rFonts w:eastAsia="Times New Roman" w:cs="Calibri"/>
                <w:color w:val="000000"/>
                <w:sz w:val="16"/>
                <w:lang w:eastAsia="es-CO"/>
              </w:rPr>
              <w:t>ArcGIS 10</w:t>
            </w:r>
          </w:p>
          <w:p w:rsidR="001C7E2C" w:rsidRPr="002D5666" w:rsidRDefault="001C7E2C" w:rsidP="001C7E2C">
            <w:pPr>
              <w:tabs>
                <w:tab w:val="left" w:pos="68"/>
              </w:tabs>
              <w:jc w:val="center"/>
              <w:rPr>
                <w:rFonts w:eastAsia="Times New Roman" w:cs="Calibri"/>
                <w:color w:val="000000"/>
                <w:sz w:val="16"/>
                <w:lang w:eastAsia="es-CO"/>
              </w:rPr>
            </w:pPr>
            <w:r w:rsidRPr="002D5666">
              <w:rPr>
                <w:rFonts w:eastAsia="Times New Roman" w:cs="Calibri"/>
                <w:color w:val="000000"/>
                <w:sz w:val="16"/>
                <w:lang w:eastAsia="es-CO"/>
              </w:rPr>
              <w:t>Cargue Datos</w:t>
            </w:r>
          </w:p>
        </w:tc>
      </w:tr>
      <w:tr w:rsidR="001C7E2C" w:rsidRPr="002D5666" w:rsidTr="002D5666">
        <w:trPr>
          <w:trHeight w:val="406"/>
          <w:jc w:val="center"/>
        </w:trPr>
        <w:tc>
          <w:tcPr>
            <w:tcW w:w="1245" w:type="dxa"/>
            <w:vMerge w:val="restart"/>
            <w:shd w:val="clear" w:color="auto" w:fill="auto"/>
            <w:noWrap/>
            <w:vAlign w:val="center"/>
            <w:hideMark/>
          </w:tcPr>
          <w:p w:rsidR="001C7E2C" w:rsidRPr="002D5666" w:rsidRDefault="001C7E2C" w:rsidP="001C7E2C">
            <w:pPr>
              <w:jc w:val="center"/>
              <w:rPr>
                <w:rFonts w:eastAsia="Times New Roman" w:cs="Calibri"/>
                <w:bCs/>
                <w:color w:val="000000"/>
                <w:sz w:val="16"/>
                <w:lang w:eastAsia="es-CO"/>
              </w:rPr>
            </w:pPr>
            <w:r w:rsidRPr="002D5666">
              <w:rPr>
                <w:rFonts w:eastAsia="Times New Roman" w:cs="Calibri"/>
                <w:bCs/>
                <w:color w:val="000000"/>
                <w:sz w:val="16"/>
                <w:lang w:eastAsia="es-CO"/>
              </w:rPr>
              <w:t>46</w:t>
            </w:r>
          </w:p>
        </w:tc>
        <w:tc>
          <w:tcPr>
            <w:tcW w:w="1134"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2014</w:t>
            </w:r>
          </w:p>
        </w:tc>
        <w:tc>
          <w:tcPr>
            <w:tcW w:w="1417"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1/05/2016</w:t>
            </w:r>
          </w:p>
        </w:tc>
        <w:tc>
          <w:tcPr>
            <w:tcW w:w="1418"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30/04/2017</w:t>
            </w:r>
          </w:p>
        </w:tc>
        <w:tc>
          <w:tcPr>
            <w:tcW w:w="1132"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SINC</w:t>
            </w:r>
          </w:p>
        </w:tc>
        <w:tc>
          <w:tcPr>
            <w:tcW w:w="1729" w:type="dxa"/>
            <w:shd w:val="clear" w:color="auto" w:fill="auto"/>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ArcGIS 10</w:t>
            </w:r>
          </w:p>
        </w:tc>
      </w:tr>
      <w:tr w:rsidR="001C7E2C" w:rsidRPr="002D5666" w:rsidTr="002D5666">
        <w:trPr>
          <w:trHeight w:val="425"/>
          <w:jc w:val="center"/>
        </w:trPr>
        <w:tc>
          <w:tcPr>
            <w:tcW w:w="1245" w:type="dxa"/>
            <w:vMerge/>
            <w:shd w:val="clear" w:color="auto" w:fill="auto"/>
            <w:vAlign w:val="center"/>
            <w:hideMark/>
          </w:tcPr>
          <w:p w:rsidR="001C7E2C" w:rsidRPr="002D5666" w:rsidRDefault="001C7E2C" w:rsidP="001C7E2C">
            <w:pPr>
              <w:jc w:val="center"/>
              <w:rPr>
                <w:rFonts w:eastAsia="Times New Roman" w:cs="Calibri"/>
                <w:bCs/>
                <w:color w:val="000000"/>
                <w:sz w:val="16"/>
                <w:lang w:eastAsia="es-CO"/>
              </w:rPr>
            </w:pPr>
          </w:p>
        </w:tc>
        <w:tc>
          <w:tcPr>
            <w:tcW w:w="1134"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2014</w:t>
            </w:r>
          </w:p>
        </w:tc>
        <w:tc>
          <w:tcPr>
            <w:tcW w:w="1417"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15/02/2016</w:t>
            </w:r>
          </w:p>
        </w:tc>
        <w:tc>
          <w:tcPr>
            <w:tcW w:w="1418"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31/12/2016</w:t>
            </w:r>
          </w:p>
        </w:tc>
        <w:tc>
          <w:tcPr>
            <w:tcW w:w="1132"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SINC</w:t>
            </w:r>
          </w:p>
        </w:tc>
        <w:tc>
          <w:tcPr>
            <w:tcW w:w="1729" w:type="dxa"/>
            <w:shd w:val="clear" w:color="auto" w:fill="auto"/>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Capacitación entes territoriales</w:t>
            </w:r>
          </w:p>
        </w:tc>
      </w:tr>
      <w:tr w:rsidR="001C7E2C" w:rsidRPr="002D5666" w:rsidTr="002D5666">
        <w:trPr>
          <w:trHeight w:val="575"/>
          <w:jc w:val="center"/>
        </w:trPr>
        <w:tc>
          <w:tcPr>
            <w:tcW w:w="1245" w:type="dxa"/>
            <w:shd w:val="clear" w:color="auto" w:fill="auto"/>
            <w:noWrap/>
            <w:vAlign w:val="center"/>
            <w:hideMark/>
          </w:tcPr>
          <w:p w:rsidR="001C7E2C" w:rsidRPr="002D5666" w:rsidRDefault="001C7E2C" w:rsidP="001C7E2C">
            <w:pPr>
              <w:jc w:val="center"/>
              <w:rPr>
                <w:rFonts w:eastAsia="Times New Roman" w:cs="Calibri"/>
                <w:bCs/>
                <w:color w:val="000000"/>
                <w:sz w:val="16"/>
                <w:lang w:eastAsia="es-CO"/>
              </w:rPr>
            </w:pPr>
            <w:r w:rsidRPr="002D5666">
              <w:rPr>
                <w:rFonts w:eastAsia="Times New Roman" w:cs="Calibri"/>
                <w:bCs/>
                <w:color w:val="000000"/>
                <w:sz w:val="16"/>
                <w:lang w:eastAsia="es-CO"/>
              </w:rPr>
              <w:t>13</w:t>
            </w:r>
          </w:p>
        </w:tc>
        <w:tc>
          <w:tcPr>
            <w:tcW w:w="1134"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2013</w:t>
            </w:r>
          </w:p>
        </w:tc>
        <w:tc>
          <w:tcPr>
            <w:tcW w:w="1417"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1/02/2016</w:t>
            </w:r>
          </w:p>
        </w:tc>
        <w:tc>
          <w:tcPr>
            <w:tcW w:w="1418"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31/12/2016</w:t>
            </w:r>
          </w:p>
        </w:tc>
        <w:tc>
          <w:tcPr>
            <w:tcW w:w="1132" w:type="dxa"/>
            <w:shd w:val="clear" w:color="auto" w:fill="auto"/>
            <w:vAlign w:val="center"/>
            <w:hideMark/>
          </w:tcPr>
          <w:p w:rsidR="001C7E2C" w:rsidRPr="002D5666" w:rsidRDefault="001C7E2C" w:rsidP="00226636">
            <w:pPr>
              <w:jc w:val="center"/>
              <w:rPr>
                <w:rFonts w:eastAsia="Times New Roman" w:cs="Calibri"/>
                <w:color w:val="000000"/>
                <w:sz w:val="16"/>
                <w:lang w:eastAsia="es-CO"/>
              </w:rPr>
            </w:pPr>
            <w:r w:rsidRPr="002D5666">
              <w:rPr>
                <w:rFonts w:eastAsia="Times New Roman" w:cs="Calibri"/>
                <w:color w:val="000000"/>
                <w:sz w:val="16"/>
                <w:lang w:eastAsia="es-CO"/>
              </w:rPr>
              <w:t>SINC y SIGPVR</w:t>
            </w:r>
          </w:p>
        </w:tc>
        <w:tc>
          <w:tcPr>
            <w:tcW w:w="1729" w:type="dxa"/>
            <w:shd w:val="clear" w:color="auto" w:fill="auto"/>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Cargue Datos</w:t>
            </w:r>
          </w:p>
        </w:tc>
      </w:tr>
      <w:tr w:rsidR="001C7E2C" w:rsidRPr="002D5666" w:rsidTr="002D5666">
        <w:trPr>
          <w:trHeight w:val="413"/>
          <w:jc w:val="center"/>
        </w:trPr>
        <w:tc>
          <w:tcPr>
            <w:tcW w:w="1245" w:type="dxa"/>
            <w:shd w:val="clear" w:color="auto" w:fill="auto"/>
            <w:noWrap/>
            <w:vAlign w:val="center"/>
            <w:hideMark/>
          </w:tcPr>
          <w:p w:rsidR="001C7E2C" w:rsidRPr="002D5666" w:rsidRDefault="001C7E2C" w:rsidP="001C7E2C">
            <w:pPr>
              <w:jc w:val="center"/>
              <w:rPr>
                <w:rFonts w:eastAsia="Times New Roman" w:cs="Calibri"/>
                <w:bCs/>
                <w:color w:val="000000"/>
                <w:sz w:val="16"/>
                <w:lang w:eastAsia="es-CO"/>
              </w:rPr>
            </w:pPr>
            <w:r w:rsidRPr="002D5666">
              <w:rPr>
                <w:rFonts w:eastAsia="Times New Roman" w:cs="Calibri"/>
                <w:bCs/>
                <w:color w:val="000000"/>
                <w:sz w:val="16"/>
                <w:lang w:eastAsia="es-CO"/>
              </w:rPr>
              <w:t>19</w:t>
            </w:r>
          </w:p>
        </w:tc>
        <w:tc>
          <w:tcPr>
            <w:tcW w:w="1134"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2011</w:t>
            </w:r>
          </w:p>
        </w:tc>
        <w:tc>
          <w:tcPr>
            <w:tcW w:w="1417"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1/05/2016</w:t>
            </w:r>
          </w:p>
        </w:tc>
        <w:tc>
          <w:tcPr>
            <w:tcW w:w="1418"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30/04/2017</w:t>
            </w:r>
          </w:p>
        </w:tc>
        <w:tc>
          <w:tcPr>
            <w:tcW w:w="1132" w:type="dxa"/>
            <w:shd w:val="clear" w:color="auto" w:fill="auto"/>
            <w:noWrap/>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SINC</w:t>
            </w:r>
          </w:p>
        </w:tc>
        <w:tc>
          <w:tcPr>
            <w:tcW w:w="1729" w:type="dxa"/>
            <w:shd w:val="clear" w:color="auto" w:fill="auto"/>
            <w:vAlign w:val="center"/>
            <w:hideMark/>
          </w:tcPr>
          <w:p w:rsidR="001C7E2C" w:rsidRPr="002D5666" w:rsidRDefault="001C7E2C" w:rsidP="001C7E2C">
            <w:pPr>
              <w:jc w:val="center"/>
              <w:rPr>
                <w:rFonts w:eastAsia="Times New Roman" w:cs="Calibri"/>
                <w:color w:val="000000"/>
                <w:sz w:val="16"/>
                <w:lang w:eastAsia="es-CO"/>
              </w:rPr>
            </w:pPr>
            <w:r w:rsidRPr="002D5666">
              <w:rPr>
                <w:rFonts w:eastAsia="Times New Roman" w:cs="Calibri"/>
                <w:color w:val="000000"/>
                <w:sz w:val="16"/>
                <w:lang w:eastAsia="es-CO"/>
              </w:rPr>
              <w:t>ArcGIS 10</w:t>
            </w:r>
          </w:p>
        </w:tc>
      </w:tr>
    </w:tbl>
    <w:p w:rsidR="00AF49EB" w:rsidRDefault="00AF49EB" w:rsidP="00DB4B45">
      <w:pPr>
        <w:rPr>
          <w:rFonts w:cs="Arial"/>
          <w:sz w:val="22"/>
        </w:rPr>
      </w:pPr>
    </w:p>
    <w:p w:rsidR="001C7E2C" w:rsidRPr="001C7E2C" w:rsidRDefault="001C7E2C" w:rsidP="00442CAC">
      <w:pPr>
        <w:pStyle w:val="Prrafodelista"/>
        <w:numPr>
          <w:ilvl w:val="0"/>
          <w:numId w:val="36"/>
        </w:numPr>
        <w:ind w:left="360"/>
        <w:rPr>
          <w:rFonts w:cs="Arial"/>
          <w:sz w:val="22"/>
        </w:rPr>
      </w:pPr>
      <w:r w:rsidRPr="001C7E2C">
        <w:rPr>
          <w:rFonts w:cs="Arial"/>
          <w:sz w:val="22"/>
        </w:rPr>
        <w:t>Se elaboró un convenio con el Instituto Geográfico Agustín Codazzi -IGAC- para compartir información sobre la malla vial e información de catastro.</w:t>
      </w:r>
    </w:p>
    <w:p w:rsidR="001C7E2C" w:rsidRPr="001C7E2C" w:rsidRDefault="001C7E2C" w:rsidP="001C7E2C">
      <w:pPr>
        <w:rPr>
          <w:rFonts w:cs="Arial"/>
          <w:sz w:val="22"/>
        </w:rPr>
      </w:pPr>
    </w:p>
    <w:p w:rsidR="001C7E2C" w:rsidRPr="001C7E2C" w:rsidRDefault="001C7E2C" w:rsidP="00442CAC">
      <w:pPr>
        <w:pStyle w:val="Prrafodelista"/>
        <w:numPr>
          <w:ilvl w:val="0"/>
          <w:numId w:val="36"/>
        </w:numPr>
        <w:ind w:left="360"/>
        <w:rPr>
          <w:rFonts w:cs="Arial"/>
          <w:sz w:val="22"/>
        </w:rPr>
      </w:pPr>
      <w:r w:rsidRPr="001C7E2C">
        <w:rPr>
          <w:rFonts w:cs="Arial"/>
          <w:sz w:val="22"/>
        </w:rPr>
        <w:lastRenderedPageBreak/>
        <w:t xml:space="preserve">Se generaron dos nuevas versiones de la plataforma WEB que soporta el SINC, mejorando en cada una las funcionalidades expuestas a los usuarios, diseñando y publicando los visores según las necesidades de los actores del sector. </w:t>
      </w:r>
    </w:p>
    <w:p w:rsidR="001C7E2C" w:rsidRPr="002D5666" w:rsidRDefault="001C7E2C" w:rsidP="001C7E2C">
      <w:pPr>
        <w:rPr>
          <w:rFonts w:cs="Arial"/>
          <w:sz w:val="14"/>
        </w:rPr>
      </w:pPr>
    </w:p>
    <w:p w:rsidR="00AF49EB" w:rsidRDefault="001C7E2C" w:rsidP="001C7E2C">
      <w:pPr>
        <w:rPr>
          <w:rFonts w:cs="Arial"/>
          <w:sz w:val="22"/>
        </w:rPr>
      </w:pPr>
      <w:r w:rsidRPr="001C7E2C">
        <w:rPr>
          <w:rFonts w:cs="Arial"/>
          <w:sz w:val="22"/>
        </w:rPr>
        <w:t>Información publicada en el SINC:</w:t>
      </w:r>
    </w:p>
    <w:tbl>
      <w:tblPr>
        <w:tblW w:w="83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252"/>
        <w:gridCol w:w="1973"/>
      </w:tblGrid>
      <w:tr w:rsidR="001C7E2C" w:rsidRPr="00576E08" w:rsidTr="00DC286C">
        <w:trPr>
          <w:trHeight w:val="499"/>
          <w:jc w:val="right"/>
        </w:trPr>
        <w:tc>
          <w:tcPr>
            <w:tcW w:w="2122" w:type="dxa"/>
            <w:shd w:val="clear" w:color="auto" w:fill="auto"/>
            <w:vAlign w:val="center"/>
          </w:tcPr>
          <w:p w:rsidR="001C7E2C" w:rsidRPr="00576E08" w:rsidRDefault="00226636" w:rsidP="001C7E2C">
            <w:pPr>
              <w:jc w:val="center"/>
              <w:rPr>
                <w:rFonts w:cs="Calibri"/>
                <w:b/>
                <w:bCs/>
                <w:sz w:val="16"/>
              </w:rPr>
            </w:pPr>
            <w:r w:rsidRPr="00576E08">
              <w:rPr>
                <w:rFonts w:cs="Calibri"/>
                <w:b/>
                <w:bCs/>
                <w:sz w:val="16"/>
              </w:rPr>
              <w:t>TIPO DE INFORMACIÓ</w:t>
            </w:r>
            <w:r w:rsidR="001C7E2C" w:rsidRPr="00576E08">
              <w:rPr>
                <w:rFonts w:cs="Calibri"/>
                <w:b/>
                <w:bCs/>
                <w:sz w:val="16"/>
              </w:rPr>
              <w:t>N</w:t>
            </w:r>
          </w:p>
        </w:tc>
        <w:tc>
          <w:tcPr>
            <w:tcW w:w="4252" w:type="dxa"/>
            <w:shd w:val="clear" w:color="auto" w:fill="auto"/>
            <w:vAlign w:val="center"/>
          </w:tcPr>
          <w:p w:rsidR="001C7E2C" w:rsidRPr="00576E08" w:rsidRDefault="001C7E2C" w:rsidP="001C7E2C">
            <w:pPr>
              <w:jc w:val="center"/>
              <w:rPr>
                <w:rFonts w:cs="Calibri"/>
                <w:b/>
                <w:bCs/>
                <w:sz w:val="16"/>
              </w:rPr>
            </w:pPr>
            <w:r w:rsidRPr="00576E08">
              <w:rPr>
                <w:rFonts w:cs="Calibri"/>
                <w:b/>
                <w:bCs/>
                <w:sz w:val="16"/>
              </w:rPr>
              <w:t>AVANCE</w:t>
            </w:r>
          </w:p>
        </w:tc>
        <w:tc>
          <w:tcPr>
            <w:tcW w:w="1973" w:type="dxa"/>
            <w:shd w:val="clear" w:color="auto" w:fill="auto"/>
            <w:vAlign w:val="center"/>
          </w:tcPr>
          <w:p w:rsidR="001C7E2C" w:rsidRPr="00576E08" w:rsidRDefault="001C7E2C" w:rsidP="001C7E2C">
            <w:pPr>
              <w:jc w:val="center"/>
              <w:rPr>
                <w:rFonts w:cs="Calibri"/>
                <w:b/>
                <w:bCs/>
                <w:sz w:val="16"/>
              </w:rPr>
            </w:pPr>
            <w:r w:rsidRPr="00576E08">
              <w:rPr>
                <w:rFonts w:cs="Calibri"/>
                <w:b/>
                <w:bCs/>
                <w:sz w:val="16"/>
              </w:rPr>
              <w:t>FUENTE</w:t>
            </w:r>
          </w:p>
        </w:tc>
      </w:tr>
      <w:tr w:rsidR="001C7E2C" w:rsidRPr="00576E08" w:rsidTr="00DC286C">
        <w:trPr>
          <w:jc w:val="right"/>
        </w:trPr>
        <w:tc>
          <w:tcPr>
            <w:tcW w:w="2122" w:type="dxa"/>
            <w:shd w:val="clear" w:color="auto" w:fill="auto"/>
            <w:vAlign w:val="center"/>
          </w:tcPr>
          <w:p w:rsidR="001C7E2C" w:rsidRPr="00576E08" w:rsidRDefault="001C7E2C" w:rsidP="001C7E2C">
            <w:pPr>
              <w:rPr>
                <w:rFonts w:cs="Calibri"/>
                <w:bCs/>
                <w:sz w:val="16"/>
              </w:rPr>
            </w:pPr>
            <w:r w:rsidRPr="00576E08">
              <w:rPr>
                <w:rFonts w:cs="Calibri"/>
                <w:bCs/>
                <w:sz w:val="16"/>
              </w:rPr>
              <w:t>Eje de la red vial nacional</w:t>
            </w:r>
          </w:p>
        </w:tc>
        <w:tc>
          <w:tcPr>
            <w:tcW w:w="4252" w:type="dxa"/>
            <w:shd w:val="clear" w:color="auto" w:fill="auto"/>
            <w:vAlign w:val="center"/>
          </w:tcPr>
          <w:p w:rsidR="001C7E2C" w:rsidRPr="00576E08" w:rsidRDefault="001C7E2C" w:rsidP="001C7E2C">
            <w:pPr>
              <w:jc w:val="center"/>
              <w:rPr>
                <w:rFonts w:cs="Calibri"/>
                <w:bCs/>
                <w:sz w:val="16"/>
              </w:rPr>
            </w:pPr>
            <w:r w:rsidRPr="00576E08">
              <w:rPr>
                <w:rFonts w:cs="Calibri"/>
                <w:bCs/>
                <w:sz w:val="16"/>
              </w:rPr>
              <w:t>100%</w:t>
            </w:r>
          </w:p>
        </w:tc>
        <w:tc>
          <w:tcPr>
            <w:tcW w:w="1973" w:type="dxa"/>
            <w:shd w:val="clear" w:color="auto" w:fill="auto"/>
            <w:vAlign w:val="center"/>
          </w:tcPr>
          <w:p w:rsidR="001C7E2C" w:rsidRPr="00576E08" w:rsidRDefault="001C7E2C" w:rsidP="001C7E2C">
            <w:pPr>
              <w:jc w:val="center"/>
              <w:rPr>
                <w:rFonts w:cs="Calibri"/>
                <w:b/>
                <w:bCs/>
                <w:sz w:val="16"/>
              </w:rPr>
            </w:pPr>
            <w:r w:rsidRPr="00576E08">
              <w:rPr>
                <w:rFonts w:cs="Calibri"/>
                <w:sz w:val="16"/>
              </w:rPr>
              <w:t>INVIAS</w:t>
            </w:r>
          </w:p>
        </w:tc>
      </w:tr>
      <w:tr w:rsidR="001C7E2C" w:rsidRPr="00576E08" w:rsidTr="00DC286C">
        <w:trPr>
          <w:jc w:val="right"/>
        </w:trPr>
        <w:tc>
          <w:tcPr>
            <w:tcW w:w="2122" w:type="dxa"/>
            <w:shd w:val="clear" w:color="auto" w:fill="auto"/>
            <w:vAlign w:val="center"/>
          </w:tcPr>
          <w:p w:rsidR="001C7E2C" w:rsidRPr="00576E08" w:rsidRDefault="001C7E2C" w:rsidP="001C7E2C">
            <w:pPr>
              <w:rPr>
                <w:rFonts w:cs="Calibri"/>
                <w:bCs/>
                <w:sz w:val="16"/>
              </w:rPr>
            </w:pPr>
            <w:r w:rsidRPr="00576E08">
              <w:rPr>
                <w:rFonts w:cs="Calibri"/>
                <w:bCs/>
                <w:sz w:val="16"/>
              </w:rPr>
              <w:t>Eje de la red vial departamental</w:t>
            </w:r>
          </w:p>
        </w:tc>
        <w:tc>
          <w:tcPr>
            <w:tcW w:w="4252" w:type="dxa"/>
            <w:shd w:val="clear" w:color="auto" w:fill="auto"/>
            <w:vAlign w:val="center"/>
          </w:tcPr>
          <w:p w:rsidR="001C7E2C" w:rsidRPr="00576E08" w:rsidRDefault="001C7E2C" w:rsidP="001C7E2C">
            <w:pPr>
              <w:jc w:val="center"/>
              <w:rPr>
                <w:rFonts w:cs="Calibri"/>
                <w:sz w:val="16"/>
              </w:rPr>
            </w:pPr>
            <w:r w:rsidRPr="00576E08">
              <w:rPr>
                <w:rFonts w:cs="Calibri"/>
                <w:sz w:val="16"/>
              </w:rPr>
              <w:t>90%</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Inventarios viales desde 2009</w:t>
            </w:r>
          </w:p>
        </w:tc>
      </w:tr>
      <w:tr w:rsidR="001C7E2C" w:rsidRPr="00576E08" w:rsidTr="00DC286C">
        <w:trPr>
          <w:trHeight w:val="219"/>
          <w:jc w:val="right"/>
        </w:trPr>
        <w:tc>
          <w:tcPr>
            <w:tcW w:w="2122" w:type="dxa"/>
            <w:shd w:val="clear" w:color="auto" w:fill="auto"/>
            <w:vAlign w:val="center"/>
          </w:tcPr>
          <w:p w:rsidR="001C7E2C" w:rsidRPr="00576E08" w:rsidRDefault="00996508" w:rsidP="001C7E2C">
            <w:pPr>
              <w:rPr>
                <w:rFonts w:cs="Calibri"/>
                <w:bCs/>
                <w:sz w:val="16"/>
              </w:rPr>
            </w:pPr>
            <w:r w:rsidRPr="00576E08">
              <w:rPr>
                <w:rFonts w:cs="Calibri"/>
                <w:bCs/>
                <w:sz w:val="16"/>
              </w:rPr>
              <w:t>Vías IGAC</w:t>
            </w:r>
          </w:p>
        </w:tc>
        <w:tc>
          <w:tcPr>
            <w:tcW w:w="4252" w:type="dxa"/>
            <w:shd w:val="clear" w:color="auto" w:fill="auto"/>
            <w:vAlign w:val="center"/>
          </w:tcPr>
          <w:p w:rsidR="001C7E2C" w:rsidRPr="00576E08" w:rsidRDefault="001C7E2C" w:rsidP="001C7E2C">
            <w:pPr>
              <w:jc w:val="center"/>
              <w:rPr>
                <w:rFonts w:cs="Calibri"/>
                <w:sz w:val="16"/>
              </w:rPr>
            </w:pPr>
            <w:r w:rsidRPr="00576E08">
              <w:rPr>
                <w:rFonts w:cs="Calibri"/>
                <w:sz w:val="16"/>
              </w:rPr>
              <w:t>100%</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IGAC</w:t>
            </w:r>
          </w:p>
        </w:tc>
      </w:tr>
      <w:tr w:rsidR="001C7E2C" w:rsidRPr="00576E08" w:rsidTr="00DC286C">
        <w:trPr>
          <w:trHeight w:val="509"/>
          <w:jc w:val="right"/>
        </w:trPr>
        <w:tc>
          <w:tcPr>
            <w:tcW w:w="2122" w:type="dxa"/>
            <w:shd w:val="clear" w:color="auto" w:fill="auto"/>
            <w:vAlign w:val="center"/>
          </w:tcPr>
          <w:p w:rsidR="001C7E2C" w:rsidRPr="00576E08" w:rsidRDefault="001C7E2C" w:rsidP="00DC286C">
            <w:pPr>
              <w:jc w:val="left"/>
              <w:rPr>
                <w:rFonts w:cs="Calibri"/>
                <w:bCs/>
                <w:sz w:val="16"/>
              </w:rPr>
            </w:pPr>
            <w:r w:rsidRPr="00576E08">
              <w:rPr>
                <w:rFonts w:cs="Calibri"/>
                <w:bCs/>
                <w:sz w:val="16"/>
              </w:rPr>
              <w:t>Proyectos de infraestructura</w:t>
            </w:r>
          </w:p>
        </w:tc>
        <w:tc>
          <w:tcPr>
            <w:tcW w:w="4252" w:type="dxa"/>
            <w:shd w:val="clear" w:color="auto" w:fill="auto"/>
            <w:vAlign w:val="center"/>
          </w:tcPr>
          <w:p w:rsidR="001C7E2C" w:rsidRPr="00576E08" w:rsidRDefault="001C7E2C" w:rsidP="001C7E2C">
            <w:pPr>
              <w:jc w:val="center"/>
              <w:rPr>
                <w:rFonts w:cs="Calibri"/>
                <w:sz w:val="16"/>
              </w:rPr>
            </w:pPr>
            <w:r w:rsidRPr="00576E08">
              <w:rPr>
                <w:rFonts w:cs="Calibri"/>
                <w:sz w:val="16"/>
              </w:rPr>
              <w:t>100%</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INVIAS</w:t>
            </w:r>
          </w:p>
          <w:p w:rsidR="001C7E2C" w:rsidRPr="00576E08" w:rsidRDefault="001C7E2C" w:rsidP="001C7E2C">
            <w:pPr>
              <w:jc w:val="center"/>
              <w:rPr>
                <w:rFonts w:cs="Calibri"/>
                <w:sz w:val="16"/>
              </w:rPr>
            </w:pPr>
            <w:r w:rsidRPr="00576E08">
              <w:rPr>
                <w:rFonts w:cs="Calibri"/>
                <w:sz w:val="16"/>
              </w:rPr>
              <w:t>ANI</w:t>
            </w:r>
          </w:p>
          <w:p w:rsidR="001C7E2C" w:rsidRPr="00576E08" w:rsidRDefault="001C7E2C" w:rsidP="001C7E2C">
            <w:pPr>
              <w:jc w:val="center"/>
              <w:rPr>
                <w:rFonts w:cs="Calibri"/>
                <w:sz w:val="16"/>
              </w:rPr>
            </w:pPr>
            <w:r w:rsidRPr="00576E08">
              <w:rPr>
                <w:rFonts w:cs="Calibri"/>
                <w:sz w:val="16"/>
              </w:rPr>
              <w:t>AEROCIVIL</w:t>
            </w:r>
          </w:p>
        </w:tc>
      </w:tr>
      <w:tr w:rsidR="001C7E2C" w:rsidRPr="00576E08" w:rsidTr="00DC286C">
        <w:trPr>
          <w:jc w:val="right"/>
        </w:trPr>
        <w:tc>
          <w:tcPr>
            <w:tcW w:w="2122" w:type="dxa"/>
            <w:shd w:val="clear" w:color="auto" w:fill="auto"/>
            <w:vAlign w:val="center"/>
          </w:tcPr>
          <w:p w:rsidR="001C7E2C" w:rsidRPr="00576E08" w:rsidRDefault="001C7E2C" w:rsidP="00996508">
            <w:pPr>
              <w:rPr>
                <w:rFonts w:cs="Calibri"/>
                <w:bCs/>
                <w:sz w:val="16"/>
              </w:rPr>
            </w:pPr>
            <w:r w:rsidRPr="00576E08">
              <w:rPr>
                <w:rFonts w:cs="Calibri"/>
                <w:bCs/>
                <w:sz w:val="16"/>
              </w:rPr>
              <w:t>Franjas de retiro</w:t>
            </w:r>
          </w:p>
        </w:tc>
        <w:tc>
          <w:tcPr>
            <w:tcW w:w="4252" w:type="dxa"/>
            <w:shd w:val="clear" w:color="auto" w:fill="auto"/>
            <w:vAlign w:val="center"/>
          </w:tcPr>
          <w:p w:rsidR="001C7E2C" w:rsidRPr="00576E08" w:rsidRDefault="001C7E2C" w:rsidP="00996508">
            <w:pPr>
              <w:rPr>
                <w:rFonts w:cs="Calibri"/>
                <w:sz w:val="16"/>
              </w:rPr>
            </w:pPr>
            <w:r w:rsidRPr="00576E08">
              <w:rPr>
                <w:rFonts w:cs="Calibri"/>
                <w:b/>
                <w:sz w:val="16"/>
              </w:rPr>
              <w:t>Departamental</w:t>
            </w:r>
            <w:r w:rsidRPr="00576E08">
              <w:rPr>
                <w:rFonts w:cs="Calibri"/>
                <w:sz w:val="16"/>
              </w:rPr>
              <w:t>: Arauca, Caldas, Casanare, Quindío, Norte de Santander, Vaupés y Valle del Cauca.</w:t>
            </w:r>
          </w:p>
          <w:p w:rsidR="001C7E2C" w:rsidRPr="00576E08" w:rsidRDefault="001C7E2C" w:rsidP="00996508">
            <w:pPr>
              <w:rPr>
                <w:rFonts w:cs="Calibri"/>
                <w:sz w:val="16"/>
              </w:rPr>
            </w:pPr>
            <w:r w:rsidRPr="00576E08">
              <w:rPr>
                <w:rFonts w:cs="Calibri"/>
                <w:b/>
                <w:sz w:val="16"/>
              </w:rPr>
              <w:t>Nacional</w:t>
            </w:r>
            <w:r w:rsidRPr="00576E08">
              <w:rPr>
                <w:rFonts w:cs="Calibri"/>
                <w:sz w:val="16"/>
              </w:rPr>
              <w:t>: INVIAS 100%</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Procesos de categorización</w:t>
            </w:r>
          </w:p>
        </w:tc>
      </w:tr>
      <w:tr w:rsidR="001C7E2C" w:rsidRPr="00576E08" w:rsidTr="00DC286C">
        <w:trPr>
          <w:jc w:val="right"/>
        </w:trPr>
        <w:tc>
          <w:tcPr>
            <w:tcW w:w="2122" w:type="dxa"/>
            <w:shd w:val="clear" w:color="auto" w:fill="auto"/>
            <w:vAlign w:val="center"/>
          </w:tcPr>
          <w:p w:rsidR="001C7E2C" w:rsidRPr="00576E08" w:rsidRDefault="001C7E2C" w:rsidP="00996508">
            <w:pPr>
              <w:rPr>
                <w:rFonts w:cs="Calibri"/>
                <w:bCs/>
                <w:sz w:val="16"/>
              </w:rPr>
            </w:pPr>
            <w:r w:rsidRPr="00576E08">
              <w:rPr>
                <w:rFonts w:cs="Calibri"/>
                <w:bCs/>
                <w:sz w:val="16"/>
              </w:rPr>
              <w:t>Inventarios departamentales</w:t>
            </w:r>
          </w:p>
        </w:tc>
        <w:tc>
          <w:tcPr>
            <w:tcW w:w="4252" w:type="dxa"/>
            <w:shd w:val="clear" w:color="auto" w:fill="auto"/>
            <w:vAlign w:val="center"/>
          </w:tcPr>
          <w:p w:rsidR="001C7E2C" w:rsidRPr="00576E08" w:rsidRDefault="001C7E2C" w:rsidP="00996508">
            <w:pPr>
              <w:rPr>
                <w:rFonts w:cs="Calibri"/>
                <w:sz w:val="16"/>
              </w:rPr>
            </w:pPr>
            <w:r w:rsidRPr="00576E08">
              <w:rPr>
                <w:rFonts w:cs="Calibri"/>
                <w:b/>
                <w:sz w:val="16"/>
              </w:rPr>
              <w:t xml:space="preserve">Diez departamentos: </w:t>
            </w:r>
            <w:r w:rsidRPr="00576E08">
              <w:rPr>
                <w:rFonts w:cs="Calibri"/>
                <w:sz w:val="16"/>
              </w:rPr>
              <w:t>Antioquia, Chocó, Caldas, Quindío, Vichada, Vaupés, Meta, Putumayo, Cesar y La Guajira</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Inventarios viales desde 2009.</w:t>
            </w:r>
          </w:p>
        </w:tc>
      </w:tr>
      <w:tr w:rsidR="001C7E2C" w:rsidRPr="00576E08" w:rsidTr="00DC286C">
        <w:trPr>
          <w:jc w:val="right"/>
        </w:trPr>
        <w:tc>
          <w:tcPr>
            <w:tcW w:w="2122" w:type="dxa"/>
            <w:shd w:val="clear" w:color="auto" w:fill="auto"/>
            <w:vAlign w:val="center"/>
          </w:tcPr>
          <w:p w:rsidR="001C7E2C" w:rsidRPr="00576E08" w:rsidRDefault="001C7E2C" w:rsidP="002A21C9">
            <w:pPr>
              <w:rPr>
                <w:rFonts w:cs="Calibri"/>
                <w:bCs/>
                <w:sz w:val="16"/>
              </w:rPr>
            </w:pPr>
            <w:r w:rsidRPr="00576E08">
              <w:rPr>
                <w:rFonts w:cs="Calibri"/>
                <w:bCs/>
                <w:sz w:val="16"/>
              </w:rPr>
              <w:t>Red terciaria</w:t>
            </w:r>
          </w:p>
        </w:tc>
        <w:tc>
          <w:tcPr>
            <w:tcW w:w="4252" w:type="dxa"/>
            <w:shd w:val="clear" w:color="auto" w:fill="auto"/>
            <w:vAlign w:val="center"/>
          </w:tcPr>
          <w:p w:rsidR="001C7E2C" w:rsidRPr="00576E08" w:rsidRDefault="001C7E2C" w:rsidP="00996508">
            <w:pPr>
              <w:rPr>
                <w:rFonts w:cs="Calibri"/>
                <w:b/>
                <w:sz w:val="16"/>
              </w:rPr>
            </w:pPr>
            <w:r w:rsidRPr="00576E08">
              <w:rPr>
                <w:rFonts w:cs="Calibri"/>
                <w:b/>
                <w:sz w:val="16"/>
              </w:rPr>
              <w:t>1.135 kilómetros</w:t>
            </w:r>
          </w:p>
          <w:p w:rsidR="001C7E2C" w:rsidRPr="00576E08" w:rsidRDefault="001C7E2C" w:rsidP="00996508">
            <w:pPr>
              <w:rPr>
                <w:rFonts w:cs="Calibri"/>
                <w:b/>
                <w:sz w:val="16"/>
              </w:rPr>
            </w:pPr>
            <w:r w:rsidRPr="00576E08">
              <w:rPr>
                <w:rFonts w:cs="Calibri"/>
                <w:b/>
                <w:sz w:val="16"/>
              </w:rPr>
              <w:t>12 municipios:</w:t>
            </w:r>
          </w:p>
          <w:p w:rsidR="001C7E2C" w:rsidRPr="00576E08" w:rsidRDefault="001C7E2C" w:rsidP="00996508">
            <w:pPr>
              <w:rPr>
                <w:rFonts w:cs="Calibri"/>
                <w:sz w:val="16"/>
              </w:rPr>
            </w:pPr>
            <w:r w:rsidRPr="00576E08">
              <w:rPr>
                <w:rFonts w:cs="Calibri"/>
                <w:sz w:val="16"/>
              </w:rPr>
              <w:t>Boyacá: Güicán, Jenesano, Tibaná, Garagoa, Nobsa, Macanal, Paz del Río, Ráquira y Chíquiza.</w:t>
            </w:r>
            <w:r w:rsidR="00DC286C">
              <w:rPr>
                <w:rFonts w:cs="Calibri"/>
                <w:sz w:val="16"/>
              </w:rPr>
              <w:t xml:space="preserve"> </w:t>
            </w:r>
            <w:r w:rsidRPr="00576E08">
              <w:rPr>
                <w:rFonts w:cs="Calibri"/>
                <w:sz w:val="16"/>
              </w:rPr>
              <w:t>Santander: Güepsa y Jordán.</w:t>
            </w:r>
          </w:p>
          <w:p w:rsidR="001C7E2C" w:rsidRPr="00576E08" w:rsidRDefault="001C7E2C" w:rsidP="00996508">
            <w:pPr>
              <w:rPr>
                <w:rFonts w:cs="Calibri"/>
                <w:b/>
                <w:sz w:val="16"/>
              </w:rPr>
            </w:pPr>
            <w:r w:rsidRPr="00576E08">
              <w:rPr>
                <w:rFonts w:cs="Calibri"/>
                <w:sz w:val="16"/>
              </w:rPr>
              <w:t>Nariño: Cuaspud</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Inventarios viales entregados por municipios.</w:t>
            </w:r>
          </w:p>
        </w:tc>
      </w:tr>
      <w:tr w:rsidR="001C7E2C" w:rsidRPr="00576E08" w:rsidTr="00DC286C">
        <w:trPr>
          <w:trHeight w:val="299"/>
          <w:jc w:val="right"/>
        </w:trPr>
        <w:tc>
          <w:tcPr>
            <w:tcW w:w="2122" w:type="dxa"/>
            <w:shd w:val="clear" w:color="auto" w:fill="auto"/>
            <w:vAlign w:val="center"/>
          </w:tcPr>
          <w:p w:rsidR="001C7E2C" w:rsidRPr="00576E08" w:rsidRDefault="00996508" w:rsidP="002A21C9">
            <w:pPr>
              <w:rPr>
                <w:rFonts w:cs="Calibri"/>
                <w:bCs/>
                <w:sz w:val="16"/>
              </w:rPr>
            </w:pPr>
            <w:r w:rsidRPr="00576E08">
              <w:rPr>
                <w:rFonts w:cs="Calibri"/>
                <w:bCs/>
                <w:sz w:val="16"/>
              </w:rPr>
              <w:t>Predios</w:t>
            </w:r>
          </w:p>
        </w:tc>
        <w:tc>
          <w:tcPr>
            <w:tcW w:w="4252" w:type="dxa"/>
            <w:shd w:val="clear" w:color="auto" w:fill="auto"/>
            <w:vAlign w:val="center"/>
          </w:tcPr>
          <w:p w:rsidR="001C7E2C" w:rsidRPr="00576E08" w:rsidRDefault="001C7E2C" w:rsidP="001C7E2C">
            <w:pPr>
              <w:jc w:val="center"/>
              <w:rPr>
                <w:rFonts w:cs="Calibri"/>
                <w:b/>
                <w:sz w:val="16"/>
              </w:rPr>
            </w:pPr>
            <w:r w:rsidRPr="00576E08">
              <w:rPr>
                <w:rFonts w:cs="Calibri"/>
                <w:sz w:val="16"/>
              </w:rPr>
              <w:t>100</w:t>
            </w:r>
            <w:r w:rsidRPr="00576E08">
              <w:rPr>
                <w:rFonts w:cs="Calibri"/>
                <w:b/>
                <w:sz w:val="16"/>
              </w:rPr>
              <w:t>%</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IGAC</w:t>
            </w:r>
          </w:p>
        </w:tc>
      </w:tr>
      <w:tr w:rsidR="001C7E2C" w:rsidRPr="00576E08" w:rsidTr="00DC286C">
        <w:trPr>
          <w:trHeight w:val="276"/>
          <w:jc w:val="right"/>
        </w:trPr>
        <w:tc>
          <w:tcPr>
            <w:tcW w:w="2122" w:type="dxa"/>
            <w:shd w:val="clear" w:color="auto" w:fill="auto"/>
            <w:vAlign w:val="center"/>
          </w:tcPr>
          <w:p w:rsidR="001C7E2C" w:rsidRPr="00576E08" w:rsidRDefault="001C7E2C" w:rsidP="002A21C9">
            <w:pPr>
              <w:rPr>
                <w:rFonts w:cs="Calibri"/>
                <w:bCs/>
                <w:sz w:val="16"/>
              </w:rPr>
            </w:pPr>
            <w:r w:rsidRPr="00576E08">
              <w:rPr>
                <w:rFonts w:cs="Calibri"/>
                <w:bCs/>
                <w:sz w:val="16"/>
              </w:rPr>
              <w:t>Peajes</w:t>
            </w:r>
          </w:p>
        </w:tc>
        <w:tc>
          <w:tcPr>
            <w:tcW w:w="4252" w:type="dxa"/>
            <w:shd w:val="clear" w:color="auto" w:fill="auto"/>
            <w:vAlign w:val="center"/>
          </w:tcPr>
          <w:p w:rsidR="001C7E2C" w:rsidRPr="00576E08" w:rsidRDefault="001C7E2C" w:rsidP="001C7E2C">
            <w:pPr>
              <w:jc w:val="center"/>
              <w:rPr>
                <w:rFonts w:cs="Calibri"/>
                <w:sz w:val="16"/>
              </w:rPr>
            </w:pPr>
            <w:r w:rsidRPr="00576E08">
              <w:rPr>
                <w:rFonts w:cs="Calibri"/>
                <w:sz w:val="16"/>
              </w:rPr>
              <w:t>100%</w:t>
            </w:r>
          </w:p>
        </w:tc>
        <w:tc>
          <w:tcPr>
            <w:tcW w:w="1973" w:type="dxa"/>
            <w:shd w:val="clear" w:color="auto" w:fill="auto"/>
            <w:vAlign w:val="center"/>
          </w:tcPr>
          <w:p w:rsidR="001C7E2C" w:rsidRPr="00576E08" w:rsidRDefault="001C7E2C" w:rsidP="001C7E2C">
            <w:pPr>
              <w:jc w:val="center"/>
              <w:rPr>
                <w:rFonts w:cs="Calibri"/>
                <w:sz w:val="16"/>
              </w:rPr>
            </w:pPr>
            <w:r w:rsidRPr="00576E08">
              <w:rPr>
                <w:rFonts w:cs="Calibri"/>
                <w:sz w:val="16"/>
              </w:rPr>
              <w:t>INVIAS</w:t>
            </w:r>
          </w:p>
          <w:p w:rsidR="001C7E2C" w:rsidRPr="00576E08" w:rsidRDefault="001C7E2C" w:rsidP="001C7E2C">
            <w:pPr>
              <w:jc w:val="center"/>
              <w:rPr>
                <w:rFonts w:cs="Calibri"/>
                <w:sz w:val="16"/>
              </w:rPr>
            </w:pPr>
            <w:r w:rsidRPr="00576E08">
              <w:rPr>
                <w:rFonts w:cs="Calibri"/>
                <w:sz w:val="16"/>
              </w:rPr>
              <w:t>ANI</w:t>
            </w:r>
          </w:p>
        </w:tc>
      </w:tr>
    </w:tbl>
    <w:p w:rsidR="00AF49EB" w:rsidRDefault="00AF49EB" w:rsidP="00DB4B45">
      <w:pPr>
        <w:rPr>
          <w:rFonts w:cs="Arial"/>
          <w:sz w:val="22"/>
        </w:rPr>
      </w:pPr>
    </w:p>
    <w:p w:rsidR="00996508" w:rsidRPr="00996508" w:rsidRDefault="00996508" w:rsidP="00442CAC">
      <w:pPr>
        <w:pStyle w:val="Prrafodelista"/>
        <w:numPr>
          <w:ilvl w:val="0"/>
          <w:numId w:val="37"/>
        </w:numPr>
        <w:rPr>
          <w:rFonts w:cs="Arial"/>
          <w:sz w:val="22"/>
        </w:rPr>
      </w:pPr>
      <w:r w:rsidRPr="00996508">
        <w:rPr>
          <w:rFonts w:cs="Arial"/>
          <w:sz w:val="22"/>
        </w:rPr>
        <w:t>Se ha implementado un proceso ágil de realimentación a través del correo electrónico oficial del SINC (sinc@mintransporte.gov.co) para que así se puedan hacer entregas oficiales y satisfactorias en el menor tiempo posible.</w:t>
      </w:r>
    </w:p>
    <w:p w:rsidR="00996508" w:rsidRPr="00996508" w:rsidRDefault="00996508" w:rsidP="00996508">
      <w:pPr>
        <w:rPr>
          <w:rFonts w:cs="Arial"/>
          <w:sz w:val="22"/>
        </w:rPr>
      </w:pPr>
    </w:p>
    <w:p w:rsidR="00996508" w:rsidRPr="00996508" w:rsidRDefault="00996508" w:rsidP="00996508">
      <w:pPr>
        <w:rPr>
          <w:rFonts w:cs="Arial"/>
          <w:b/>
          <w:sz w:val="22"/>
        </w:rPr>
      </w:pPr>
      <w:r w:rsidRPr="00996508">
        <w:rPr>
          <w:rFonts w:cs="Arial"/>
          <w:b/>
          <w:sz w:val="22"/>
        </w:rPr>
        <w:t>Próximos pasos</w:t>
      </w:r>
    </w:p>
    <w:p w:rsidR="00996508" w:rsidRPr="00996508" w:rsidRDefault="00996508" w:rsidP="00DC286C">
      <w:pPr>
        <w:pStyle w:val="Prrafodelista"/>
        <w:numPr>
          <w:ilvl w:val="0"/>
          <w:numId w:val="38"/>
        </w:numPr>
        <w:ind w:left="360"/>
        <w:rPr>
          <w:rFonts w:cs="Arial"/>
          <w:sz w:val="22"/>
        </w:rPr>
      </w:pPr>
      <w:r w:rsidRPr="00996508">
        <w:rPr>
          <w:rFonts w:cs="Arial"/>
          <w:sz w:val="22"/>
        </w:rPr>
        <w:t>Información</w:t>
      </w:r>
    </w:p>
    <w:p w:rsidR="00996508" w:rsidRPr="00996508" w:rsidRDefault="00996508" w:rsidP="00DC286C">
      <w:pPr>
        <w:pStyle w:val="Prrafodelista"/>
        <w:numPr>
          <w:ilvl w:val="1"/>
          <w:numId w:val="37"/>
        </w:numPr>
        <w:ind w:left="720"/>
        <w:rPr>
          <w:rFonts w:cs="Arial"/>
          <w:sz w:val="22"/>
        </w:rPr>
      </w:pPr>
      <w:r w:rsidRPr="00996508">
        <w:rPr>
          <w:rFonts w:cs="Arial"/>
          <w:sz w:val="22"/>
        </w:rPr>
        <w:t>Consolidar línea base inventarios</w:t>
      </w:r>
    </w:p>
    <w:p w:rsidR="001C7E2C" w:rsidRDefault="00996508" w:rsidP="00DC286C">
      <w:pPr>
        <w:pStyle w:val="Prrafodelista"/>
        <w:numPr>
          <w:ilvl w:val="1"/>
          <w:numId w:val="37"/>
        </w:numPr>
        <w:ind w:left="720"/>
        <w:rPr>
          <w:rFonts w:cs="Arial"/>
          <w:sz w:val="22"/>
        </w:rPr>
      </w:pPr>
      <w:r w:rsidRPr="00996508">
        <w:rPr>
          <w:rFonts w:cs="Arial"/>
          <w:sz w:val="22"/>
        </w:rPr>
        <w:t>Disminuir inconsistencias con los datos del administrador de un tramo de una vía, porque se generan un doble reporte por parte de las entidades</w:t>
      </w:r>
      <w:r>
        <w:rPr>
          <w:rFonts w:cs="Arial"/>
          <w:sz w:val="22"/>
        </w:rPr>
        <w:t>.</w:t>
      </w:r>
    </w:p>
    <w:p w:rsidR="00996508" w:rsidRPr="00996508" w:rsidRDefault="00996508" w:rsidP="00DC286C">
      <w:pPr>
        <w:pStyle w:val="Prrafodelista"/>
        <w:numPr>
          <w:ilvl w:val="1"/>
          <w:numId w:val="37"/>
        </w:numPr>
        <w:ind w:left="720"/>
        <w:rPr>
          <w:rFonts w:cs="Arial"/>
          <w:sz w:val="22"/>
        </w:rPr>
      </w:pPr>
      <w:r w:rsidRPr="00996508">
        <w:rPr>
          <w:rFonts w:cs="Arial"/>
          <w:sz w:val="22"/>
        </w:rPr>
        <w:lastRenderedPageBreak/>
        <w:t>Implementar la totalidad de la información de carreteras del país con sus respectivas franjas de retiro y categorización vial. El plan es realizar una brigada para cargar la información de los departamentos. 2018</w:t>
      </w:r>
    </w:p>
    <w:p w:rsidR="00996508" w:rsidRPr="00996508" w:rsidRDefault="00996508" w:rsidP="00DC286C">
      <w:pPr>
        <w:pStyle w:val="Prrafodelista"/>
        <w:numPr>
          <w:ilvl w:val="0"/>
          <w:numId w:val="38"/>
        </w:numPr>
        <w:ind w:left="360"/>
        <w:rPr>
          <w:rFonts w:cs="Arial"/>
          <w:sz w:val="22"/>
        </w:rPr>
      </w:pPr>
      <w:r w:rsidRPr="00996508">
        <w:rPr>
          <w:rFonts w:cs="Arial"/>
          <w:sz w:val="22"/>
        </w:rPr>
        <w:t>Mejoras</w:t>
      </w:r>
    </w:p>
    <w:p w:rsidR="00996508" w:rsidRPr="00996508" w:rsidRDefault="00996508" w:rsidP="00DC286C">
      <w:pPr>
        <w:pStyle w:val="Prrafodelista"/>
        <w:numPr>
          <w:ilvl w:val="1"/>
          <w:numId w:val="37"/>
        </w:numPr>
        <w:ind w:left="720"/>
        <w:rPr>
          <w:rFonts w:cs="Arial"/>
          <w:sz w:val="22"/>
        </w:rPr>
      </w:pPr>
      <w:r w:rsidRPr="00996508">
        <w:rPr>
          <w:rFonts w:cs="Arial"/>
          <w:sz w:val="22"/>
        </w:rPr>
        <w:t>Diseñar procedimiento en el SINC, para actualizar el administrador de una vía relacionado directamente con el acta de entrega o reversión expedida por INVIAS.</w:t>
      </w:r>
    </w:p>
    <w:p w:rsidR="00996508" w:rsidRPr="00996508" w:rsidRDefault="00996508" w:rsidP="00DC286C">
      <w:pPr>
        <w:pStyle w:val="Prrafodelista"/>
        <w:numPr>
          <w:ilvl w:val="1"/>
          <w:numId w:val="37"/>
        </w:numPr>
        <w:ind w:left="720"/>
        <w:rPr>
          <w:rFonts w:cs="Arial"/>
          <w:sz w:val="22"/>
        </w:rPr>
      </w:pPr>
      <w:r w:rsidRPr="00996508">
        <w:rPr>
          <w:rFonts w:cs="Arial"/>
          <w:sz w:val="22"/>
        </w:rPr>
        <w:t>Garantizar la continuidad y funcionalidad del sistema para que las entidades adscritas puedan actualizar la información de la red vial a su cargo de manera automatizada</w:t>
      </w:r>
    </w:p>
    <w:p w:rsidR="00996508" w:rsidRPr="00996508" w:rsidRDefault="00996508" w:rsidP="00DC286C">
      <w:pPr>
        <w:pStyle w:val="Prrafodelista"/>
        <w:numPr>
          <w:ilvl w:val="0"/>
          <w:numId w:val="38"/>
        </w:numPr>
        <w:ind w:left="360"/>
        <w:rPr>
          <w:rFonts w:cs="Arial"/>
          <w:sz w:val="22"/>
        </w:rPr>
      </w:pPr>
      <w:r w:rsidRPr="00996508">
        <w:rPr>
          <w:rFonts w:cs="Arial"/>
          <w:sz w:val="22"/>
        </w:rPr>
        <w:t>Socialización SINC</w:t>
      </w:r>
    </w:p>
    <w:p w:rsidR="00996508" w:rsidRPr="00996508" w:rsidRDefault="00996508" w:rsidP="00442CAC">
      <w:pPr>
        <w:pStyle w:val="Prrafodelista"/>
        <w:numPr>
          <w:ilvl w:val="1"/>
          <w:numId w:val="37"/>
        </w:numPr>
        <w:rPr>
          <w:rFonts w:cs="Arial"/>
          <w:sz w:val="22"/>
        </w:rPr>
      </w:pPr>
      <w:r w:rsidRPr="00996508">
        <w:rPr>
          <w:rFonts w:cs="Arial"/>
          <w:sz w:val="22"/>
        </w:rPr>
        <w:t>Capacitación masiva, a los municipios, sobre el uso del SINC, organizando convocatorias en municipios equidistantes.</w:t>
      </w:r>
    </w:p>
    <w:p w:rsidR="00996508" w:rsidRPr="00996508" w:rsidRDefault="00996508" w:rsidP="00442CAC">
      <w:pPr>
        <w:pStyle w:val="Prrafodelista"/>
        <w:numPr>
          <w:ilvl w:val="1"/>
          <w:numId w:val="37"/>
        </w:numPr>
        <w:rPr>
          <w:rFonts w:cs="Arial"/>
          <w:sz w:val="22"/>
        </w:rPr>
      </w:pPr>
      <w:r w:rsidRPr="00996508">
        <w:rPr>
          <w:rFonts w:cs="Arial"/>
          <w:sz w:val="22"/>
        </w:rPr>
        <w:t>Mejorar soporte a municipios en el uso de la herramienta validador</w:t>
      </w:r>
    </w:p>
    <w:p w:rsidR="00996508" w:rsidRPr="00996508" w:rsidRDefault="00996508" w:rsidP="00442CAC">
      <w:pPr>
        <w:pStyle w:val="Prrafodelista"/>
        <w:numPr>
          <w:ilvl w:val="1"/>
          <w:numId w:val="37"/>
        </w:numPr>
        <w:rPr>
          <w:rFonts w:cs="Arial"/>
          <w:sz w:val="22"/>
        </w:rPr>
      </w:pPr>
      <w:r w:rsidRPr="00996508">
        <w:rPr>
          <w:rFonts w:cs="Arial"/>
          <w:sz w:val="22"/>
        </w:rPr>
        <w:t>Diseño y elaboración de una cartilla y un vídeo de entrenamiento.</w:t>
      </w:r>
    </w:p>
    <w:p w:rsidR="00996508" w:rsidRPr="00996508" w:rsidRDefault="00996508" w:rsidP="00442CAC">
      <w:pPr>
        <w:pStyle w:val="Prrafodelista"/>
        <w:numPr>
          <w:ilvl w:val="1"/>
          <w:numId w:val="37"/>
        </w:numPr>
        <w:rPr>
          <w:rFonts w:cs="Arial"/>
          <w:sz w:val="22"/>
        </w:rPr>
      </w:pPr>
      <w:r w:rsidRPr="00996508">
        <w:rPr>
          <w:rFonts w:cs="Arial"/>
          <w:sz w:val="22"/>
        </w:rPr>
        <w:t>Nuevas alternativas para el mejoramiento de vías de bajo tráfico</w:t>
      </w:r>
    </w:p>
    <w:p w:rsidR="00996508" w:rsidRPr="00996508" w:rsidRDefault="00996508" w:rsidP="00442CAC">
      <w:pPr>
        <w:pStyle w:val="Prrafodelista"/>
        <w:numPr>
          <w:ilvl w:val="1"/>
          <w:numId w:val="37"/>
        </w:numPr>
        <w:rPr>
          <w:rFonts w:cs="Arial"/>
          <w:sz w:val="22"/>
        </w:rPr>
      </w:pPr>
      <w:r w:rsidRPr="00996508">
        <w:rPr>
          <w:rFonts w:cs="Arial"/>
          <w:sz w:val="22"/>
        </w:rPr>
        <w:t>Se adelantan dos pilotos en Puerto Asís (Putumayo) y Valencia (Córdoba), con la participación de entidades de orden nacional. Para Puerto Asís la Gobernación, el CENAC, INVIAS, la Universidad de Antioquia, el Ministerio de Transporte y 9 empresas de carácter privado que son los patrocinadores de la investigación, para adelantar la construcción de 9km de prueba con productos alternativos y 1 km sin aditivos el cual sirve de referencia. En cuanto a piloto de Valencia este cuenta con la participación de la Gobernación, el Municipio, COVICOM, la Universidad de Antioquia, INVIAS y Ministerio de Transporte, con la participación hasta el día de hoy de 7 empresas de tecnologías alternativas para la construcción de 8 km, de los cuales 7 se intervendrán con tecnologías alternativas y 1 km de referencia. Para este piloto se tiene contemplado lograr la participación de 2 empresas más para la intervención de un total de 10 Km.</w:t>
      </w:r>
    </w:p>
    <w:p w:rsidR="00DC286C" w:rsidRPr="002D5666" w:rsidRDefault="00DC286C" w:rsidP="00996508">
      <w:pPr>
        <w:rPr>
          <w:rFonts w:cs="Arial"/>
          <w:sz w:val="16"/>
        </w:rPr>
      </w:pPr>
    </w:p>
    <w:p w:rsidR="00996508" w:rsidRPr="00996508" w:rsidRDefault="00996508" w:rsidP="00996508">
      <w:pPr>
        <w:rPr>
          <w:rFonts w:cs="Arial"/>
          <w:b/>
          <w:sz w:val="22"/>
        </w:rPr>
      </w:pPr>
      <w:r w:rsidRPr="00996508">
        <w:rPr>
          <w:rFonts w:cs="Arial"/>
          <w:b/>
          <w:sz w:val="22"/>
        </w:rPr>
        <w:t>Próximos pasos</w:t>
      </w:r>
    </w:p>
    <w:p w:rsidR="00996508" w:rsidRPr="00996508" w:rsidRDefault="00996508" w:rsidP="00442CAC">
      <w:pPr>
        <w:pStyle w:val="Prrafodelista"/>
        <w:numPr>
          <w:ilvl w:val="0"/>
          <w:numId w:val="37"/>
        </w:numPr>
        <w:rPr>
          <w:rFonts w:cs="Arial"/>
          <w:sz w:val="22"/>
        </w:rPr>
      </w:pPr>
      <w:r w:rsidRPr="00996508">
        <w:rPr>
          <w:rFonts w:cs="Arial"/>
          <w:sz w:val="22"/>
        </w:rPr>
        <w:t xml:space="preserve">En el marco de los convenio  772-2017 (Putumayo) y 792-21 (Valencia), una vez terminada la etapa constructiva la universidad de Antioquia durante dos años llevara a cabo el seguimiento de los tramos de prueba, evaluando el comportamiento mecánico </w:t>
      </w:r>
      <w:r w:rsidRPr="00996508">
        <w:rPr>
          <w:rFonts w:cs="Arial"/>
          <w:sz w:val="22"/>
        </w:rPr>
        <w:lastRenderedPageBreak/>
        <w:t>y químico de las tecnologías y para aquellas tecnologías que presenten un comportamiento favorable para la implementación en vías de bajos y medios volúmenes de tránsito se generan las respectivas especificaciones particulares que permita su uso en vías terciarias.</w:t>
      </w:r>
    </w:p>
    <w:p w:rsidR="001C7E2C" w:rsidRPr="00996508" w:rsidRDefault="00996508" w:rsidP="00442CAC">
      <w:pPr>
        <w:pStyle w:val="Prrafodelista"/>
        <w:numPr>
          <w:ilvl w:val="0"/>
          <w:numId w:val="37"/>
        </w:numPr>
        <w:rPr>
          <w:rFonts w:cs="Arial"/>
          <w:sz w:val="22"/>
        </w:rPr>
      </w:pPr>
      <w:r w:rsidRPr="00996508">
        <w:rPr>
          <w:rFonts w:cs="Arial"/>
          <w:sz w:val="22"/>
        </w:rPr>
        <w:t>A medida que se cuenta con la participación de otras empresas se evaluara la posibilidad de adelantar más pilotos en otras zonas del país, con el fin de abarcar una mayor cantidad de regiones con características de suelos, clima, topografía y así poder cubrir diferentes regiones del territorio nacional</w:t>
      </w:r>
      <w:r>
        <w:rPr>
          <w:rFonts w:cs="Arial"/>
          <w:sz w:val="22"/>
        </w:rPr>
        <w:t>.</w:t>
      </w:r>
    </w:p>
    <w:p w:rsidR="001C7E2C" w:rsidRPr="002D5666" w:rsidRDefault="001C7E2C" w:rsidP="00DB4B45">
      <w:pPr>
        <w:rPr>
          <w:rFonts w:cs="Arial"/>
          <w:sz w:val="12"/>
        </w:rPr>
      </w:pPr>
    </w:p>
    <w:p w:rsidR="000D46F9" w:rsidRDefault="000946BA" w:rsidP="007B3218">
      <w:pPr>
        <w:pStyle w:val="Ttulo2"/>
        <w:numPr>
          <w:ilvl w:val="1"/>
          <w:numId w:val="87"/>
        </w:numPr>
      </w:pPr>
      <w:bookmarkStart w:id="39" w:name="_Toc440538911"/>
      <w:bookmarkStart w:id="40" w:name="_Toc473412365"/>
      <w:bookmarkStart w:id="41" w:name="_Toc473412515"/>
      <w:bookmarkStart w:id="42" w:name="_Toc505003483"/>
      <w:r>
        <w:t>D</w:t>
      </w:r>
      <w:r w:rsidR="00FD627F" w:rsidRPr="007E3988">
        <w:t>esarrollo de infraestructura de transporte</w:t>
      </w:r>
      <w:bookmarkEnd w:id="39"/>
      <w:bookmarkEnd w:id="40"/>
      <w:bookmarkEnd w:id="41"/>
      <w:bookmarkEnd w:id="42"/>
    </w:p>
    <w:p w:rsidR="000D46F9" w:rsidRPr="002D5666" w:rsidRDefault="000D46F9" w:rsidP="000D46F9">
      <w:pPr>
        <w:rPr>
          <w:rFonts w:cs="Arial"/>
          <w:sz w:val="10"/>
        </w:rPr>
      </w:pPr>
    </w:p>
    <w:p w:rsidR="00DB1751" w:rsidRPr="00DB1751" w:rsidRDefault="00DB1751" w:rsidP="00DB1751">
      <w:pPr>
        <w:rPr>
          <w:rFonts w:cs="Arial"/>
          <w:sz w:val="22"/>
          <w:u w:val="single"/>
        </w:rPr>
      </w:pPr>
      <w:r w:rsidRPr="00DB1751">
        <w:rPr>
          <w:rFonts w:cs="Arial"/>
          <w:sz w:val="22"/>
          <w:u w:val="single"/>
        </w:rPr>
        <w:t>Apoyo a las R</w:t>
      </w:r>
      <w:r>
        <w:rPr>
          <w:rFonts w:cs="Arial"/>
          <w:sz w:val="22"/>
          <w:u w:val="single"/>
        </w:rPr>
        <w:t>egiones:</w:t>
      </w:r>
    </w:p>
    <w:p w:rsidR="00DB1751" w:rsidRPr="00DB1751" w:rsidRDefault="00DB1751" w:rsidP="00442CAC">
      <w:pPr>
        <w:pStyle w:val="Prrafodelista"/>
        <w:numPr>
          <w:ilvl w:val="0"/>
          <w:numId w:val="39"/>
        </w:numPr>
        <w:rPr>
          <w:rFonts w:cs="Arial"/>
          <w:sz w:val="22"/>
        </w:rPr>
      </w:pPr>
      <w:r w:rsidRPr="00DB1751">
        <w:rPr>
          <w:rFonts w:cs="Arial"/>
          <w:sz w:val="22"/>
        </w:rPr>
        <w:t xml:space="preserve">En el presente año el Ministerio de Transporte apoyó a los departamentos de Vichada, Cundinamarca y Boyacá para la actualización de los PVD, los cuales de acuerdo con la programación estarán aprobados en la segunda semana de diciembre. </w:t>
      </w:r>
    </w:p>
    <w:p w:rsidR="00DB1751" w:rsidRPr="00DB1751" w:rsidRDefault="00DB1751" w:rsidP="00442CAC">
      <w:pPr>
        <w:pStyle w:val="Prrafodelista"/>
        <w:numPr>
          <w:ilvl w:val="0"/>
          <w:numId w:val="39"/>
        </w:numPr>
        <w:rPr>
          <w:rFonts w:cs="Arial"/>
          <w:sz w:val="22"/>
        </w:rPr>
      </w:pPr>
      <w:r w:rsidRPr="00DB1751">
        <w:rPr>
          <w:rFonts w:cs="Arial"/>
          <w:sz w:val="22"/>
        </w:rPr>
        <w:t>Adicional a lo anterior se apoyó a Ibagué y a Pereira en el desarrollo de sus planes Viales Municipales, el de Ibagué fue revisado por el grupo PVR y cuenta con observaciones de forma, las cuales serán atendidas antes de la segunda semana de diciembre para su respectiva aprobación y el de Pereira cuenta con un avance del 81% y se contempla su terminación para el primer trimestre del 2018</w:t>
      </w:r>
    </w:p>
    <w:p w:rsidR="00DB1751" w:rsidRPr="00DB1751" w:rsidRDefault="00DB1751" w:rsidP="00442CAC">
      <w:pPr>
        <w:pStyle w:val="Prrafodelista"/>
        <w:numPr>
          <w:ilvl w:val="0"/>
          <w:numId w:val="39"/>
        </w:numPr>
        <w:rPr>
          <w:rFonts w:cs="Arial"/>
          <w:sz w:val="22"/>
        </w:rPr>
      </w:pPr>
      <w:r w:rsidRPr="00DB1751">
        <w:rPr>
          <w:rFonts w:cs="Arial"/>
          <w:sz w:val="22"/>
        </w:rPr>
        <w:t>En el presente año se apoyó a la región centro Tolima, para la elaboración del Piloto del Plan Regional de Infraestructura de Transporte Intermodal – PRIIT, el cual le permitirá a la región contar con una herramienta de planificación pensada en la conectividad, productividad y desarrollo de la Región.</w:t>
      </w:r>
    </w:p>
    <w:p w:rsidR="00DB1751" w:rsidRPr="00DB1751" w:rsidRDefault="00DB1751" w:rsidP="00442CAC">
      <w:pPr>
        <w:pStyle w:val="Prrafodelista"/>
        <w:numPr>
          <w:ilvl w:val="0"/>
          <w:numId w:val="39"/>
        </w:numPr>
        <w:rPr>
          <w:rFonts w:cs="Arial"/>
          <w:sz w:val="22"/>
        </w:rPr>
      </w:pPr>
      <w:r w:rsidRPr="00DB1751">
        <w:rPr>
          <w:rFonts w:cs="Arial"/>
          <w:sz w:val="22"/>
        </w:rPr>
        <w:t>En este año de acuerdo al Plan Nacional de Desarrollo 2015-2018 se suscribieron 6 convenios interadministrativos cuyo objeto es la atención a las comunidades indígenas mediante la elaboración de estudios y diseños para caminos ancestrales de esta manera se cumplió de acuerdo a lo programado en los compromisos del plan nacional de desarrollo.</w:t>
      </w:r>
    </w:p>
    <w:p w:rsidR="00DB1751" w:rsidRPr="00DB1751" w:rsidRDefault="00DB1751" w:rsidP="00442CAC">
      <w:pPr>
        <w:pStyle w:val="Prrafodelista"/>
        <w:numPr>
          <w:ilvl w:val="0"/>
          <w:numId w:val="39"/>
        </w:numPr>
        <w:rPr>
          <w:rFonts w:cs="Arial"/>
          <w:sz w:val="22"/>
        </w:rPr>
      </w:pPr>
      <w:r w:rsidRPr="00DB1751">
        <w:rPr>
          <w:rFonts w:cs="Arial"/>
          <w:sz w:val="22"/>
        </w:rPr>
        <w:t xml:space="preserve">Para el presente año se tenía proyectada la transferencia de recursos del Fondo de Subsidio de Sobre Tasa a la Gasolina a 8 departamentos por un monto de $16.600 millones ($2.075 para cada uno), a la fecha se ha transferido la totalidad de recursos a </w:t>
      </w:r>
      <w:r w:rsidRPr="00DB1751">
        <w:rPr>
          <w:rFonts w:cs="Arial"/>
          <w:sz w:val="22"/>
        </w:rPr>
        <w:lastRenderedPageBreak/>
        <w:t>los departamentos de Amazonas, Vaupés, Guaviare, Vichada y parcialmente a Choco por un monto de $1.400 millones.</w:t>
      </w:r>
    </w:p>
    <w:p w:rsidR="00DB1751" w:rsidRPr="00DB1751" w:rsidRDefault="00DB1751" w:rsidP="00442CAC">
      <w:pPr>
        <w:pStyle w:val="Prrafodelista"/>
        <w:numPr>
          <w:ilvl w:val="0"/>
          <w:numId w:val="39"/>
        </w:numPr>
        <w:rPr>
          <w:rFonts w:cs="Arial"/>
          <w:sz w:val="22"/>
        </w:rPr>
      </w:pPr>
      <w:r w:rsidRPr="00DB1751">
        <w:rPr>
          <w:rFonts w:cs="Arial"/>
          <w:sz w:val="22"/>
        </w:rPr>
        <w:t>Se cuenta con la propuesta de resolución de administración del Fondo de Subsidio de Sobre Tasa a la Gasolina, la cual se encuentra en la Función Pública para su respectivo concepto.</w:t>
      </w:r>
    </w:p>
    <w:p w:rsidR="00DB1751" w:rsidRPr="00DB1751" w:rsidRDefault="00DB1751" w:rsidP="00442CAC">
      <w:pPr>
        <w:pStyle w:val="Prrafodelista"/>
        <w:numPr>
          <w:ilvl w:val="0"/>
          <w:numId w:val="39"/>
        </w:numPr>
        <w:rPr>
          <w:rFonts w:cs="Arial"/>
          <w:sz w:val="22"/>
        </w:rPr>
      </w:pPr>
      <w:r w:rsidRPr="00DB1751">
        <w:rPr>
          <w:rFonts w:cs="Arial"/>
          <w:sz w:val="22"/>
        </w:rPr>
        <w:t xml:space="preserve">Se recibieron los estudios y diseños contratados por la Gobernación de </w:t>
      </w:r>
      <w:r w:rsidR="00226636" w:rsidRPr="00DB1751">
        <w:rPr>
          <w:rFonts w:cs="Arial"/>
          <w:sz w:val="22"/>
        </w:rPr>
        <w:t>Guainía</w:t>
      </w:r>
      <w:r w:rsidRPr="00DB1751">
        <w:rPr>
          <w:rFonts w:cs="Arial"/>
          <w:sz w:val="22"/>
        </w:rPr>
        <w:t xml:space="preserve"> en el marco del convenio de trasferencia de recursos celebrado entre el Ministerio y la Gobernación y en la primera semana de diciembre se recibirán los estudios y diseños en el marco los convenio celebrados con los departamentos de Amazonas y Magdalena en los cuales se realizaron E&amp;D fase III de vías priorizadas en los PVD y Caminos ancestrales.</w:t>
      </w:r>
    </w:p>
    <w:p w:rsidR="00DB1751" w:rsidRPr="00DC286C" w:rsidRDefault="00DB1751" w:rsidP="00DB1751">
      <w:pPr>
        <w:rPr>
          <w:rFonts w:cs="Arial"/>
          <w:sz w:val="12"/>
        </w:rPr>
      </w:pPr>
    </w:p>
    <w:p w:rsidR="00DB1751" w:rsidRPr="00DB1751" w:rsidRDefault="00DB1751" w:rsidP="00DB1751">
      <w:pPr>
        <w:rPr>
          <w:rFonts w:cs="Arial"/>
          <w:b/>
          <w:sz w:val="22"/>
        </w:rPr>
      </w:pPr>
      <w:r>
        <w:rPr>
          <w:rFonts w:cs="Arial"/>
          <w:b/>
          <w:sz w:val="22"/>
        </w:rPr>
        <w:t>Próximos pasos</w:t>
      </w:r>
    </w:p>
    <w:p w:rsidR="00DB1751" w:rsidRPr="00DB1751" w:rsidRDefault="00DB1751" w:rsidP="00442CAC">
      <w:pPr>
        <w:pStyle w:val="Prrafodelista"/>
        <w:numPr>
          <w:ilvl w:val="0"/>
          <w:numId w:val="40"/>
        </w:numPr>
        <w:rPr>
          <w:rFonts w:cs="Arial"/>
          <w:sz w:val="22"/>
        </w:rPr>
      </w:pPr>
      <w:r w:rsidRPr="00DB1751">
        <w:rPr>
          <w:rFonts w:cs="Arial"/>
          <w:sz w:val="22"/>
        </w:rPr>
        <w:t>En la actualidad se está apoyando y se continuará con el apoyo a las entidades Territoriales y al DNP para la estructuración de proyectos que les permitan a las entidades solicitar recursos al SGR para la contratación de inventarios viales.</w:t>
      </w:r>
    </w:p>
    <w:p w:rsidR="00DB1751" w:rsidRPr="00DB1751" w:rsidRDefault="00DB1751" w:rsidP="00442CAC">
      <w:pPr>
        <w:pStyle w:val="Prrafodelista"/>
        <w:numPr>
          <w:ilvl w:val="0"/>
          <w:numId w:val="40"/>
        </w:numPr>
        <w:rPr>
          <w:rFonts w:cs="Arial"/>
          <w:sz w:val="22"/>
        </w:rPr>
      </w:pPr>
      <w:r w:rsidRPr="00DB1751">
        <w:rPr>
          <w:rFonts w:cs="Arial"/>
          <w:sz w:val="22"/>
        </w:rPr>
        <w:t>Presentar a las Entidades Territoriales las diferentes opciones potenciales de financiación para los proyectos estructurados.</w:t>
      </w:r>
    </w:p>
    <w:p w:rsidR="00DB1751" w:rsidRPr="00DB1751" w:rsidRDefault="00DB1751" w:rsidP="00442CAC">
      <w:pPr>
        <w:pStyle w:val="Prrafodelista"/>
        <w:numPr>
          <w:ilvl w:val="0"/>
          <w:numId w:val="40"/>
        </w:numPr>
        <w:rPr>
          <w:rFonts w:cs="Arial"/>
          <w:sz w:val="22"/>
        </w:rPr>
      </w:pPr>
      <w:r w:rsidRPr="00DB1751">
        <w:rPr>
          <w:rFonts w:cs="Arial"/>
          <w:sz w:val="22"/>
        </w:rPr>
        <w:t>Apoyo a las entidades territoriales en la Actualización de sus PVD, en el desarrollo de Planes Regionales de Infraestructura Intermodal de Transporte y en Planes viales municipales, a través de la metodología desarrollada por el MT, para tal fin.</w:t>
      </w:r>
    </w:p>
    <w:p w:rsidR="00DB1751" w:rsidRPr="00DB1751" w:rsidRDefault="00DB1751" w:rsidP="00442CAC">
      <w:pPr>
        <w:pStyle w:val="Prrafodelista"/>
        <w:numPr>
          <w:ilvl w:val="0"/>
          <w:numId w:val="40"/>
        </w:numPr>
        <w:rPr>
          <w:rFonts w:cs="Arial"/>
          <w:sz w:val="22"/>
        </w:rPr>
      </w:pPr>
      <w:r w:rsidRPr="00DB1751">
        <w:rPr>
          <w:rFonts w:cs="Arial"/>
          <w:sz w:val="22"/>
        </w:rPr>
        <w:t>En la actualidad se tiene proyectada la resolución de trasferencia de los recursos del Fondo de Sobretasa a la Gasolina para los 3 departamentos restantes y el recurso remanente de Choco.</w:t>
      </w:r>
    </w:p>
    <w:p w:rsidR="00DB1751" w:rsidRDefault="00DB1751" w:rsidP="00442CAC">
      <w:pPr>
        <w:pStyle w:val="Prrafodelista"/>
        <w:numPr>
          <w:ilvl w:val="0"/>
          <w:numId w:val="40"/>
        </w:numPr>
        <w:rPr>
          <w:rFonts w:cs="Arial"/>
          <w:sz w:val="22"/>
        </w:rPr>
      </w:pPr>
      <w:r w:rsidRPr="00DB1751">
        <w:rPr>
          <w:rFonts w:cs="Arial"/>
          <w:sz w:val="22"/>
        </w:rPr>
        <w:t>A continuación, se describen las inversiones realizadas en 2017:</w:t>
      </w:r>
    </w:p>
    <w:p w:rsidR="001C30E1" w:rsidRDefault="001C30E1" w:rsidP="001C30E1">
      <w:pPr>
        <w:rPr>
          <w:rFonts w:cs="Arial"/>
          <w:sz w:val="22"/>
        </w:rPr>
      </w:pPr>
    </w:p>
    <w:p w:rsidR="002D5666" w:rsidRDefault="002D5666" w:rsidP="001C30E1">
      <w:pPr>
        <w:rPr>
          <w:rFonts w:cs="Arial"/>
          <w:sz w:val="22"/>
        </w:rPr>
      </w:pPr>
    </w:p>
    <w:p w:rsidR="002D5666" w:rsidRDefault="002D5666" w:rsidP="001C30E1">
      <w:pPr>
        <w:rPr>
          <w:rFonts w:cs="Arial"/>
          <w:sz w:val="22"/>
        </w:rPr>
      </w:pPr>
    </w:p>
    <w:p w:rsidR="002D5666" w:rsidRDefault="002D5666" w:rsidP="001C30E1">
      <w:pPr>
        <w:rPr>
          <w:rFonts w:cs="Arial"/>
          <w:sz w:val="22"/>
        </w:rPr>
      </w:pPr>
    </w:p>
    <w:p w:rsidR="002D5666" w:rsidRDefault="002D5666" w:rsidP="001C30E1">
      <w:pPr>
        <w:rPr>
          <w:rFonts w:cs="Arial"/>
          <w:sz w:val="22"/>
        </w:rPr>
      </w:pPr>
    </w:p>
    <w:p w:rsidR="002D5666" w:rsidRDefault="002D5666" w:rsidP="001C30E1">
      <w:pPr>
        <w:rPr>
          <w:rFonts w:cs="Arial"/>
          <w:sz w:val="22"/>
        </w:rPr>
      </w:pPr>
    </w:p>
    <w:p w:rsidR="00DC286C" w:rsidRDefault="00DC286C" w:rsidP="001C30E1">
      <w:pPr>
        <w:rPr>
          <w:rFonts w:cs="Arial"/>
          <w:sz w:val="22"/>
        </w:rPr>
      </w:pPr>
    </w:p>
    <w:p w:rsidR="001C30E1" w:rsidRPr="002D5666" w:rsidRDefault="001C30E1" w:rsidP="001C30E1">
      <w:pPr>
        <w:suppressAutoHyphens/>
        <w:autoSpaceDN w:val="0"/>
        <w:textAlignment w:val="baseline"/>
        <w:rPr>
          <w:rFonts w:cs="Calibri"/>
          <w:sz w:val="18"/>
        </w:rPr>
      </w:pPr>
      <w:r w:rsidRPr="002D5666">
        <w:rPr>
          <w:rFonts w:cs="Calibri"/>
          <w:sz w:val="18"/>
        </w:rPr>
        <w:lastRenderedPageBreak/>
        <w:t>ENERO - DICIEMBRE 2017</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271"/>
        <w:gridCol w:w="851"/>
        <w:gridCol w:w="2835"/>
        <w:gridCol w:w="850"/>
        <w:gridCol w:w="1123"/>
        <w:gridCol w:w="1003"/>
        <w:gridCol w:w="1134"/>
      </w:tblGrid>
      <w:tr w:rsidR="001C30E1" w:rsidRPr="002D5666" w:rsidTr="00CE7898">
        <w:trPr>
          <w:trHeight w:val="20"/>
          <w:tblHeader/>
          <w:jc w:val="center"/>
        </w:trPr>
        <w:tc>
          <w:tcPr>
            <w:tcW w:w="1271"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MUNICIPIO/</w:t>
            </w:r>
          </w:p>
          <w:p w:rsidR="001C30E1" w:rsidRPr="002D5666" w:rsidRDefault="001C30E1" w:rsidP="005D402E">
            <w:pPr>
              <w:jc w:val="center"/>
              <w:rPr>
                <w:rFonts w:cs="Calibri"/>
                <w:b/>
                <w:sz w:val="14"/>
              </w:rPr>
            </w:pPr>
            <w:r w:rsidRPr="002D5666">
              <w:rPr>
                <w:rFonts w:cs="Calibri"/>
                <w:b/>
                <w:sz w:val="14"/>
              </w:rPr>
              <w:t>DEPARTAMENTO</w:t>
            </w:r>
          </w:p>
        </w:tc>
        <w:tc>
          <w:tcPr>
            <w:tcW w:w="851" w:type="dxa"/>
            <w:shd w:val="clear" w:color="auto" w:fill="auto"/>
            <w:tcMar>
              <w:top w:w="23" w:type="dxa"/>
              <w:left w:w="23" w:type="dxa"/>
              <w:bottom w:w="0" w:type="dxa"/>
              <w:right w:w="23" w:type="dxa"/>
            </w:tcMar>
            <w:vAlign w:val="center"/>
            <w:hideMark/>
          </w:tcPr>
          <w:p w:rsidR="001C30E1" w:rsidRPr="002D5666" w:rsidRDefault="005D402E" w:rsidP="005D402E">
            <w:pPr>
              <w:jc w:val="center"/>
              <w:rPr>
                <w:rFonts w:cs="Calibri"/>
                <w:b/>
                <w:sz w:val="14"/>
              </w:rPr>
            </w:pPr>
            <w:r w:rsidRPr="002D5666">
              <w:rPr>
                <w:rFonts w:cs="Calibri"/>
                <w:b/>
                <w:sz w:val="14"/>
              </w:rPr>
              <w:t>No. de</w:t>
            </w:r>
            <w:r w:rsidR="001C30E1" w:rsidRPr="002D5666">
              <w:rPr>
                <w:rFonts w:cs="Calibri"/>
                <w:b/>
                <w:sz w:val="14"/>
              </w:rPr>
              <w:t xml:space="preserve"> CONVENIO</w:t>
            </w:r>
          </w:p>
        </w:tc>
        <w:tc>
          <w:tcPr>
            <w:tcW w:w="2835"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OBJETO</w:t>
            </w:r>
          </w:p>
        </w:tc>
        <w:tc>
          <w:tcPr>
            <w:tcW w:w="850"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E&amp;D VÍAS PRIORIZADAS EN EL PVD (km)</w:t>
            </w:r>
          </w:p>
        </w:tc>
        <w:tc>
          <w:tcPr>
            <w:tcW w:w="1123"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E&amp;D RED CAMINERA COMUNIDADES INDIGENAS (km)</w:t>
            </w:r>
          </w:p>
        </w:tc>
        <w:tc>
          <w:tcPr>
            <w:tcW w:w="1003"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INVENTARIOS</w:t>
            </w:r>
          </w:p>
          <w:p w:rsidR="001C30E1" w:rsidRPr="002D5666" w:rsidRDefault="001C30E1" w:rsidP="005D402E">
            <w:pPr>
              <w:jc w:val="center"/>
              <w:rPr>
                <w:rFonts w:cs="Calibri"/>
                <w:b/>
                <w:sz w:val="14"/>
              </w:rPr>
            </w:pPr>
            <w:r w:rsidRPr="002D5666">
              <w:rPr>
                <w:rFonts w:cs="Calibri"/>
                <w:b/>
                <w:sz w:val="14"/>
              </w:rPr>
              <w:t>(km)</w:t>
            </w:r>
          </w:p>
        </w:tc>
        <w:tc>
          <w:tcPr>
            <w:tcW w:w="1134"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VALOR TOTAL</w:t>
            </w:r>
          </w:p>
        </w:tc>
      </w:tr>
      <w:tr w:rsidR="001C30E1" w:rsidRPr="002D5666" w:rsidTr="00CE7898">
        <w:trPr>
          <w:trHeight w:val="424"/>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Cumaribo</w:t>
            </w:r>
          </w:p>
        </w:tc>
        <w:tc>
          <w:tcPr>
            <w:tcW w:w="851"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422-2017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p>
        </w:tc>
        <w:tc>
          <w:tcPr>
            <w:tcW w:w="100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p>
        </w:tc>
      </w:tr>
      <w:tr w:rsidR="001C30E1" w:rsidRPr="002D5666" w:rsidTr="00DC286C">
        <w:trPr>
          <w:trHeight w:val="1237"/>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Risaralda</w:t>
            </w:r>
          </w:p>
        </w:tc>
        <w:tc>
          <w:tcPr>
            <w:tcW w:w="851"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480-2017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sz w:val="14"/>
              </w:rPr>
              <w:t>Aunar esfuerzos entre el Ministerio de Transporte y el departamento de Risaralda para la complementación de los inventarios de la red vial departamental y municipal del departamento de Risaralda.</w:t>
            </w: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33.3</w:t>
            </w:r>
          </w:p>
        </w:tc>
        <w:tc>
          <w:tcPr>
            <w:tcW w:w="100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554</w:t>
            </w:r>
          </w:p>
        </w:tc>
        <w:tc>
          <w:tcPr>
            <w:tcW w:w="1134"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$200 (MT)</w:t>
            </w:r>
          </w:p>
          <w:p w:rsidR="001C30E1" w:rsidRPr="002D5666" w:rsidRDefault="001C30E1" w:rsidP="005D402E">
            <w:pPr>
              <w:jc w:val="center"/>
              <w:rPr>
                <w:rFonts w:cs="Calibri"/>
                <w:sz w:val="14"/>
              </w:rPr>
            </w:pPr>
            <w:r w:rsidRPr="002D5666">
              <w:rPr>
                <w:rFonts w:cs="Calibri"/>
                <w:sz w:val="14"/>
              </w:rPr>
              <w:t>$50 (Depto)</w:t>
            </w:r>
          </w:p>
        </w:tc>
      </w:tr>
      <w:tr w:rsidR="001C30E1" w:rsidRPr="002D5666" w:rsidTr="00DC286C">
        <w:trPr>
          <w:trHeight w:val="1808"/>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Morales (Cauca)</w:t>
            </w:r>
          </w:p>
        </w:tc>
        <w:tc>
          <w:tcPr>
            <w:tcW w:w="851"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662-2017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bCs/>
                <w:sz w:val="14"/>
              </w:rPr>
              <w:t>Apoyo a la gestión vial por parte del Ministerio de Transporte a los municipios de Suarez y Morales, del departamento de Cauca, mediante la transferencia de recursos para contratación de los estudios y diseños de los caminos ancestrales - comunidades indígenas</w:t>
            </w:r>
            <w:r w:rsidRPr="002D5666">
              <w:rPr>
                <w:rFonts w:cs="Calibri"/>
                <w:bCs/>
                <w:color w:val="000000"/>
                <w:sz w:val="14"/>
                <w:lang w:val="es-CO"/>
              </w:rPr>
              <w:t>"</w:t>
            </w: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25 km</w:t>
            </w:r>
          </w:p>
        </w:tc>
        <w:tc>
          <w:tcPr>
            <w:tcW w:w="100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$ 400.</w:t>
            </w:r>
          </w:p>
        </w:tc>
      </w:tr>
      <w:tr w:rsidR="001C30E1" w:rsidRPr="002D5666" w:rsidTr="00CE7898">
        <w:trPr>
          <w:trHeight w:val="20"/>
          <w:tblHeader/>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Medio San Juan</w:t>
            </w:r>
          </w:p>
        </w:tc>
        <w:tc>
          <w:tcPr>
            <w:tcW w:w="851"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663-2017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sz w:val="14"/>
              </w:rPr>
              <w:t>Apoyo a la gestión vial por parte del ministerio de transporte a los municipios de Bagadó, alto Baudó</w:t>
            </w:r>
            <w:r w:rsidR="005D402E" w:rsidRPr="002D5666">
              <w:rPr>
                <w:rFonts w:cs="Calibri"/>
                <w:sz w:val="14"/>
              </w:rPr>
              <w:t xml:space="preserve"> y medio San J</w:t>
            </w:r>
            <w:r w:rsidRPr="002D5666">
              <w:rPr>
                <w:rFonts w:cs="Calibri"/>
                <w:sz w:val="14"/>
              </w:rPr>
              <w:t>uan, del departamento de choco, mediante la transferencia de recursos para la contratación de los estudios y diseños de los caminos ancestrales - comunidades indígenas</w:t>
            </w: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25 km</w:t>
            </w:r>
          </w:p>
        </w:tc>
        <w:tc>
          <w:tcPr>
            <w:tcW w:w="1003"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5D402E">
            <w:pPr>
              <w:jc w:val="center"/>
              <w:rPr>
                <w:rFonts w:cs="Calibri"/>
                <w:sz w:val="14"/>
              </w:rPr>
            </w:pPr>
            <w:r w:rsidRPr="002D5666">
              <w:rPr>
                <w:rFonts w:cs="Calibri"/>
                <w:sz w:val="14"/>
              </w:rPr>
              <w:t>$ 400.</w:t>
            </w:r>
          </w:p>
        </w:tc>
      </w:tr>
      <w:tr w:rsidR="001C30E1" w:rsidRPr="002D5666" w:rsidTr="00DC286C">
        <w:trPr>
          <w:trHeight w:val="1677"/>
          <w:tblHeader/>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Cumaribo</w:t>
            </w:r>
          </w:p>
        </w:tc>
        <w:tc>
          <w:tcPr>
            <w:tcW w:w="851"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422-2017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sz w:val="14"/>
              </w:rPr>
              <w:t>Apoyo a la gestión vial por parte del Ministerio de Transporte al municipio de Cumaribo, departamento de Vichada mediante la transferencia de recursos para la contratación de los estudios y dise</w:t>
            </w:r>
            <w:r w:rsidR="005D402E" w:rsidRPr="002D5666">
              <w:rPr>
                <w:rFonts w:cs="Calibri"/>
                <w:sz w:val="14"/>
              </w:rPr>
              <w:t xml:space="preserve">ños de los caminos ancestrales - </w:t>
            </w:r>
            <w:r w:rsidRPr="002D5666">
              <w:rPr>
                <w:rFonts w:cs="Calibri"/>
                <w:sz w:val="14"/>
              </w:rPr>
              <w:t>comunidades indígenas</w:t>
            </w: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25</w:t>
            </w:r>
          </w:p>
        </w:tc>
        <w:tc>
          <w:tcPr>
            <w:tcW w:w="100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$ 400</w:t>
            </w:r>
          </w:p>
        </w:tc>
      </w:tr>
      <w:tr w:rsidR="001C30E1" w:rsidRPr="002D5666" w:rsidTr="00CE7898">
        <w:trPr>
          <w:trHeight w:val="2092"/>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Puerto Rondón</w:t>
            </w:r>
          </w:p>
        </w:tc>
        <w:tc>
          <w:tcPr>
            <w:tcW w:w="851"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798-2017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sz w:val="14"/>
              </w:rPr>
              <w:t>Apoyo a la gestión vial por parte del Ministerio de Transporte al municipio de Puerto Rondón, del departamento de A</w:t>
            </w:r>
            <w:r w:rsidR="005D402E" w:rsidRPr="002D5666">
              <w:rPr>
                <w:rFonts w:cs="Calibri"/>
                <w:sz w:val="14"/>
              </w:rPr>
              <w:t>r</w:t>
            </w:r>
            <w:r w:rsidRPr="002D5666">
              <w:rPr>
                <w:rFonts w:cs="Calibri"/>
                <w:sz w:val="14"/>
              </w:rPr>
              <w:t>auca, mediante la transferencia de recursos para la contratación de los estudios y diseños de los caminos ancestrales - comunidades indígenas</w:t>
            </w: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10</w:t>
            </w:r>
          </w:p>
        </w:tc>
        <w:tc>
          <w:tcPr>
            <w:tcW w:w="100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$ 150</w:t>
            </w:r>
          </w:p>
        </w:tc>
      </w:tr>
      <w:tr w:rsidR="001C30E1" w:rsidRPr="002D5666" w:rsidTr="00DC286C">
        <w:trPr>
          <w:trHeight w:val="1623"/>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lastRenderedPageBreak/>
              <w:t>Colón (Putumayo</w:t>
            </w:r>
          </w:p>
        </w:tc>
        <w:tc>
          <w:tcPr>
            <w:tcW w:w="851"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791-2017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bCs/>
                <w:sz w:val="14"/>
              </w:rPr>
              <w:t>Apoyo a la gestión vial por parte del Ministerio de Transporte al municipio de Colón, del departamento de Putumayo, mediante la transferencia de recursos para la contratación de los estudios y diseños de los caminos ancestrales</w:t>
            </w:r>
            <w:r w:rsidR="005D402E" w:rsidRPr="002D5666">
              <w:rPr>
                <w:rFonts w:cs="Calibri"/>
                <w:bCs/>
                <w:sz w:val="14"/>
              </w:rPr>
              <w:t xml:space="preserve"> - </w:t>
            </w:r>
            <w:r w:rsidRPr="002D5666">
              <w:rPr>
                <w:rFonts w:cs="Calibri"/>
                <w:bCs/>
                <w:sz w:val="14"/>
              </w:rPr>
              <w:t>comunidades indígenas</w:t>
            </w:r>
          </w:p>
        </w:tc>
        <w:tc>
          <w:tcPr>
            <w:tcW w:w="850"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10.73</w:t>
            </w:r>
          </w:p>
        </w:tc>
        <w:tc>
          <w:tcPr>
            <w:tcW w:w="100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$ 160</w:t>
            </w:r>
          </w:p>
        </w:tc>
      </w:tr>
      <w:tr w:rsidR="001C30E1" w:rsidRPr="002D5666" w:rsidTr="00DC286C">
        <w:trPr>
          <w:trHeight w:val="1746"/>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Bolívar (Valle)</w:t>
            </w:r>
          </w:p>
        </w:tc>
        <w:tc>
          <w:tcPr>
            <w:tcW w:w="851"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797-2017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sz w:val="14"/>
              </w:rPr>
              <w:t>Apoyo a la gestión vial por parte del Ministerio de Transporte al municipio de Bolívar, departamento de valle del Cauca, mediante la transferencia de recursos para la contratación de los estudios y diseños de los caminos ancestrales- comunidades indígenas.</w:t>
            </w:r>
          </w:p>
        </w:tc>
        <w:tc>
          <w:tcPr>
            <w:tcW w:w="850"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00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134"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$ 428</w:t>
            </w:r>
          </w:p>
        </w:tc>
      </w:tr>
      <w:tr w:rsidR="001C30E1" w:rsidRPr="002D5666" w:rsidTr="00DC286C">
        <w:trPr>
          <w:trHeight w:val="1105"/>
          <w:jc w:val="center"/>
        </w:trPr>
        <w:tc>
          <w:tcPr>
            <w:tcW w:w="1271" w:type="dxa"/>
            <w:shd w:val="clear" w:color="auto" w:fill="auto"/>
            <w:tcMar>
              <w:top w:w="23" w:type="dxa"/>
              <w:left w:w="23" w:type="dxa"/>
              <w:bottom w:w="0" w:type="dxa"/>
              <w:right w:w="23" w:type="dxa"/>
            </w:tcMar>
            <w:vAlign w:val="center"/>
          </w:tcPr>
          <w:p w:rsidR="001C30E1" w:rsidRPr="002D5666" w:rsidRDefault="001C30E1" w:rsidP="00C27104">
            <w:pPr>
              <w:jc w:val="center"/>
              <w:rPr>
                <w:rFonts w:cs="Calibri"/>
                <w:sz w:val="14"/>
              </w:rPr>
            </w:pPr>
            <w:r w:rsidRPr="002D5666">
              <w:rPr>
                <w:rFonts w:cs="Calibri"/>
                <w:sz w:val="14"/>
              </w:rPr>
              <w:t>Nariño</w:t>
            </w:r>
          </w:p>
        </w:tc>
        <w:tc>
          <w:tcPr>
            <w:tcW w:w="851"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815-207</w:t>
            </w:r>
          </w:p>
        </w:tc>
        <w:tc>
          <w:tcPr>
            <w:tcW w:w="2835" w:type="dxa"/>
            <w:shd w:val="clear" w:color="auto" w:fill="auto"/>
            <w:tcMar>
              <w:top w:w="23" w:type="dxa"/>
              <w:left w:w="23" w:type="dxa"/>
              <w:bottom w:w="0" w:type="dxa"/>
              <w:right w:w="23" w:type="dxa"/>
            </w:tcMar>
            <w:vAlign w:val="center"/>
          </w:tcPr>
          <w:p w:rsidR="001C30E1" w:rsidRPr="002D5666" w:rsidRDefault="001C30E1" w:rsidP="005D402E">
            <w:pPr>
              <w:rPr>
                <w:rFonts w:cs="Calibri"/>
                <w:sz w:val="14"/>
              </w:rPr>
            </w:pPr>
            <w:r w:rsidRPr="002D5666">
              <w:rPr>
                <w:rFonts w:cs="Calibri"/>
                <w:sz w:val="14"/>
              </w:rPr>
              <w:t>Aunar esfuerzos entre el Ministerio de Transporte y el departamento de Nariño para el inventario parcial de la longitud de la red terciara a cargo de INVIAS en el departamento de Nariño.</w:t>
            </w:r>
          </w:p>
        </w:tc>
        <w:tc>
          <w:tcPr>
            <w:tcW w:w="850"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12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p>
        </w:tc>
        <w:tc>
          <w:tcPr>
            <w:tcW w:w="1003"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556</w:t>
            </w:r>
          </w:p>
        </w:tc>
        <w:tc>
          <w:tcPr>
            <w:tcW w:w="1134" w:type="dxa"/>
            <w:shd w:val="clear" w:color="auto" w:fill="auto"/>
            <w:tcMar>
              <w:top w:w="23" w:type="dxa"/>
              <w:left w:w="23" w:type="dxa"/>
              <w:bottom w:w="0" w:type="dxa"/>
              <w:right w:w="23" w:type="dxa"/>
            </w:tcMar>
            <w:vAlign w:val="center"/>
          </w:tcPr>
          <w:p w:rsidR="001C30E1" w:rsidRPr="002D5666" w:rsidRDefault="001C30E1" w:rsidP="00C90CC4">
            <w:pPr>
              <w:jc w:val="center"/>
              <w:rPr>
                <w:rFonts w:cs="Calibri"/>
                <w:sz w:val="14"/>
              </w:rPr>
            </w:pPr>
            <w:r w:rsidRPr="002D5666">
              <w:rPr>
                <w:rFonts w:cs="Calibri"/>
                <w:sz w:val="14"/>
              </w:rPr>
              <w:t>$ 330</w:t>
            </w:r>
          </w:p>
        </w:tc>
      </w:tr>
      <w:tr w:rsidR="001C30E1" w:rsidRPr="002D5666" w:rsidTr="00CE7898">
        <w:trPr>
          <w:trHeight w:val="47"/>
          <w:jc w:val="center"/>
        </w:trPr>
        <w:tc>
          <w:tcPr>
            <w:tcW w:w="1271" w:type="dxa"/>
            <w:shd w:val="clear" w:color="auto" w:fill="auto"/>
            <w:tcMar>
              <w:top w:w="23" w:type="dxa"/>
              <w:left w:w="23" w:type="dxa"/>
              <w:bottom w:w="0" w:type="dxa"/>
              <w:right w:w="23" w:type="dxa"/>
            </w:tcMar>
            <w:vAlign w:val="center"/>
            <w:hideMark/>
          </w:tcPr>
          <w:p w:rsidR="001C30E1" w:rsidRPr="002D5666" w:rsidRDefault="001C30E1" w:rsidP="005D402E">
            <w:pPr>
              <w:rPr>
                <w:rFonts w:cs="Calibri"/>
                <w:sz w:val="14"/>
              </w:rPr>
            </w:pPr>
          </w:p>
        </w:tc>
        <w:tc>
          <w:tcPr>
            <w:tcW w:w="851" w:type="dxa"/>
            <w:shd w:val="clear" w:color="auto" w:fill="auto"/>
            <w:tcMar>
              <w:top w:w="23" w:type="dxa"/>
              <w:left w:w="23" w:type="dxa"/>
              <w:bottom w:w="0" w:type="dxa"/>
              <w:right w:w="23" w:type="dxa"/>
            </w:tcMar>
            <w:vAlign w:val="center"/>
            <w:hideMark/>
          </w:tcPr>
          <w:p w:rsidR="001C30E1" w:rsidRPr="002D5666" w:rsidRDefault="001C30E1" w:rsidP="005D402E">
            <w:pPr>
              <w:rPr>
                <w:rFonts w:cs="Calibri"/>
                <w:b/>
                <w:sz w:val="14"/>
              </w:rPr>
            </w:pPr>
          </w:p>
        </w:tc>
        <w:tc>
          <w:tcPr>
            <w:tcW w:w="2835" w:type="dxa"/>
            <w:shd w:val="clear" w:color="auto" w:fill="auto"/>
            <w:tcMar>
              <w:top w:w="23" w:type="dxa"/>
              <w:left w:w="23" w:type="dxa"/>
              <w:bottom w:w="0" w:type="dxa"/>
              <w:right w:w="23" w:type="dxa"/>
            </w:tcMar>
            <w:vAlign w:val="center"/>
            <w:hideMark/>
          </w:tcPr>
          <w:p w:rsidR="001C30E1" w:rsidRPr="002D5666" w:rsidRDefault="001C30E1" w:rsidP="005D402E">
            <w:pPr>
              <w:jc w:val="center"/>
              <w:rPr>
                <w:rFonts w:cs="Calibri"/>
                <w:b/>
                <w:sz w:val="14"/>
              </w:rPr>
            </w:pPr>
            <w:r w:rsidRPr="002D5666">
              <w:rPr>
                <w:rFonts w:cs="Calibri"/>
                <w:b/>
                <w:sz w:val="14"/>
              </w:rPr>
              <w:t>TOTAL INVERSIÓN MT</w:t>
            </w:r>
          </w:p>
        </w:tc>
        <w:tc>
          <w:tcPr>
            <w:tcW w:w="850" w:type="dxa"/>
            <w:shd w:val="clear" w:color="auto" w:fill="auto"/>
            <w:tcMar>
              <w:top w:w="23" w:type="dxa"/>
              <w:left w:w="23" w:type="dxa"/>
              <w:bottom w:w="0" w:type="dxa"/>
              <w:right w:w="23" w:type="dxa"/>
            </w:tcMar>
            <w:vAlign w:val="center"/>
            <w:hideMark/>
          </w:tcPr>
          <w:p w:rsidR="001C30E1" w:rsidRPr="002D5666" w:rsidRDefault="001C30E1" w:rsidP="005D402E">
            <w:pPr>
              <w:rPr>
                <w:rFonts w:cs="Calibri"/>
                <w:sz w:val="14"/>
              </w:rPr>
            </w:pPr>
          </w:p>
        </w:tc>
        <w:tc>
          <w:tcPr>
            <w:tcW w:w="1123" w:type="dxa"/>
            <w:shd w:val="clear" w:color="auto" w:fill="auto"/>
            <w:tcMar>
              <w:top w:w="23" w:type="dxa"/>
              <w:left w:w="23" w:type="dxa"/>
              <w:bottom w:w="0" w:type="dxa"/>
              <w:right w:w="23" w:type="dxa"/>
            </w:tcMar>
            <w:vAlign w:val="center"/>
            <w:hideMark/>
          </w:tcPr>
          <w:p w:rsidR="001C30E1" w:rsidRPr="002D5666" w:rsidRDefault="001C30E1" w:rsidP="005D402E">
            <w:pPr>
              <w:rPr>
                <w:rFonts w:cs="Calibri"/>
                <w:sz w:val="14"/>
              </w:rPr>
            </w:pPr>
          </w:p>
        </w:tc>
        <w:tc>
          <w:tcPr>
            <w:tcW w:w="1003" w:type="dxa"/>
            <w:shd w:val="clear" w:color="auto" w:fill="auto"/>
            <w:tcMar>
              <w:top w:w="23" w:type="dxa"/>
              <w:left w:w="23" w:type="dxa"/>
              <w:bottom w:w="0" w:type="dxa"/>
              <w:right w:w="23" w:type="dxa"/>
            </w:tcMar>
            <w:vAlign w:val="center"/>
            <w:hideMark/>
          </w:tcPr>
          <w:p w:rsidR="001C30E1" w:rsidRPr="002D5666" w:rsidRDefault="001C30E1" w:rsidP="005D402E">
            <w:pPr>
              <w:rPr>
                <w:rFonts w:cs="Calibri"/>
                <w:sz w:val="14"/>
              </w:rPr>
            </w:pPr>
          </w:p>
        </w:tc>
        <w:tc>
          <w:tcPr>
            <w:tcW w:w="1134" w:type="dxa"/>
            <w:shd w:val="clear" w:color="auto" w:fill="auto"/>
            <w:tcMar>
              <w:top w:w="23" w:type="dxa"/>
              <w:left w:w="23" w:type="dxa"/>
              <w:bottom w:w="0" w:type="dxa"/>
              <w:right w:w="23" w:type="dxa"/>
            </w:tcMar>
            <w:vAlign w:val="center"/>
            <w:hideMark/>
          </w:tcPr>
          <w:p w:rsidR="001C30E1" w:rsidRPr="002D5666" w:rsidRDefault="001C30E1" w:rsidP="005D402E">
            <w:pPr>
              <w:rPr>
                <w:rFonts w:cs="Calibri"/>
                <w:sz w:val="14"/>
              </w:rPr>
            </w:pPr>
            <w:r w:rsidRPr="002D5666">
              <w:rPr>
                <w:rFonts w:cs="Calibri"/>
                <w:b/>
                <w:bCs/>
                <w:sz w:val="14"/>
              </w:rPr>
              <w:t>$ 2.468</w:t>
            </w:r>
          </w:p>
        </w:tc>
      </w:tr>
    </w:tbl>
    <w:p w:rsidR="00DB1751" w:rsidRPr="002D5666" w:rsidRDefault="00DB1751" w:rsidP="000D46F9">
      <w:pPr>
        <w:rPr>
          <w:rFonts w:cs="Arial"/>
          <w:sz w:val="22"/>
        </w:rPr>
      </w:pPr>
    </w:p>
    <w:p w:rsidR="000D46F9" w:rsidRDefault="000946BA" w:rsidP="007B3218">
      <w:pPr>
        <w:pStyle w:val="Ttulo2"/>
        <w:numPr>
          <w:ilvl w:val="1"/>
          <w:numId w:val="87"/>
        </w:numPr>
      </w:pPr>
      <w:bookmarkStart w:id="43" w:name="_Toc410650252"/>
      <w:bookmarkStart w:id="44" w:name="_Toc505003484"/>
      <w:r>
        <w:t>S</w:t>
      </w:r>
      <w:r w:rsidR="000D46F9" w:rsidRPr="007E3988">
        <w:t>istema General de Regalías</w:t>
      </w:r>
      <w:bookmarkEnd w:id="43"/>
      <w:r w:rsidR="000D46F9" w:rsidRPr="007E3988">
        <w:t xml:space="preserve"> </w:t>
      </w:r>
      <w:r w:rsidR="00B1195D" w:rsidRPr="007E3988">
        <w:t>-SGR</w:t>
      </w:r>
      <w:bookmarkEnd w:id="44"/>
      <w:r w:rsidR="00B1195D" w:rsidRPr="007E3988">
        <w:t xml:space="preserve"> </w:t>
      </w:r>
    </w:p>
    <w:p w:rsidR="007B3218" w:rsidRPr="002D5666" w:rsidRDefault="007B3218" w:rsidP="000D46F9">
      <w:pPr>
        <w:pStyle w:val="Prrafodelista"/>
        <w:ind w:left="0"/>
        <w:rPr>
          <w:rFonts w:cs="Arial"/>
          <w:sz w:val="22"/>
        </w:rPr>
      </w:pPr>
    </w:p>
    <w:p w:rsidR="002A21C9" w:rsidRPr="002A21C9" w:rsidRDefault="002A21C9" w:rsidP="000D46F9">
      <w:pPr>
        <w:pStyle w:val="Prrafodelista"/>
        <w:ind w:left="0"/>
        <w:rPr>
          <w:rFonts w:cs="Arial"/>
          <w:sz w:val="22"/>
        </w:rPr>
      </w:pPr>
      <w:r w:rsidRPr="002A21C9">
        <w:rPr>
          <w:rFonts w:cs="Arial"/>
          <w:sz w:val="22"/>
        </w:rPr>
        <w:t>En el Sistema General de Regalías –SGR el sector de inversión con mayores recursos y número de proyectos aprobados desde el orden municipal hasta el regional y Municipio Ribereños (Cormagdalena), en</w:t>
      </w:r>
      <w:r w:rsidR="002D6B2B">
        <w:rPr>
          <w:rFonts w:cs="Arial"/>
          <w:sz w:val="22"/>
        </w:rPr>
        <w:t>tre enero y noviembre de 2017 en</w:t>
      </w:r>
      <w:r w:rsidRPr="002A21C9">
        <w:rPr>
          <w:rFonts w:cs="Arial"/>
          <w:sz w:val="22"/>
        </w:rPr>
        <w:t xml:space="preserve"> el Sector Transporte</w:t>
      </w:r>
      <w:r w:rsidR="002D6B2B">
        <w:rPr>
          <w:rFonts w:cs="Arial"/>
          <w:sz w:val="22"/>
        </w:rPr>
        <w:t>:</w:t>
      </w:r>
    </w:p>
    <w:p w:rsidR="002A21C9" w:rsidRDefault="002A21C9" w:rsidP="000D46F9">
      <w:pPr>
        <w:pStyle w:val="Prrafodelista"/>
        <w:ind w:left="0"/>
        <w:rPr>
          <w:rFonts w:cs="Arial"/>
          <w:sz w:val="22"/>
        </w:rPr>
      </w:pPr>
    </w:p>
    <w:p w:rsidR="002D6B2B" w:rsidRDefault="002D5666" w:rsidP="00FA3393">
      <w:pPr>
        <w:pStyle w:val="Prrafodelista"/>
        <w:ind w:left="0"/>
        <w:jc w:val="center"/>
        <w:rPr>
          <w:rFonts w:cs="Arial"/>
          <w:sz w:val="22"/>
        </w:rPr>
      </w:pPr>
      <w:r>
        <w:rPr>
          <w:rFonts w:cs="Calibri"/>
          <w:noProof/>
          <w:sz w:val="22"/>
          <w:lang w:val="es-CO" w:eastAsia="es-CO"/>
        </w:rPr>
        <w:lastRenderedPageBreak/>
        <mc:AlternateContent>
          <mc:Choice Requires="wps">
            <w:drawing>
              <wp:anchor distT="0" distB="0" distL="114300" distR="114300" simplePos="0" relativeHeight="251673600" behindDoc="0" locked="0" layoutInCell="1" allowOverlap="1">
                <wp:simplePos x="0" y="0"/>
                <wp:positionH relativeFrom="column">
                  <wp:posOffset>38100</wp:posOffset>
                </wp:positionH>
                <wp:positionV relativeFrom="paragraph">
                  <wp:posOffset>3188335</wp:posOffset>
                </wp:positionV>
                <wp:extent cx="5591175" cy="144000"/>
                <wp:effectExtent l="0" t="0" r="28575" b="2794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14400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B06BE4" id="Rectángulo redondeado 9" o:spid="_x0000_s1026" style="position:absolute;margin-left:3pt;margin-top:251.05pt;width:440.2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" filled="f" strokecolor="red" strokeweight="1.75pt">
                <v:stroke joinstyle="miter"/>
                <v:path arrowok="t"/>
              </v:roundrect>
            </w:pict>
          </mc:Fallback>
        </mc:AlternateContent>
      </w:r>
      <w:r w:rsidR="002D6B2B" w:rsidRPr="00DE3EBF">
        <w:rPr>
          <w:rFonts w:cs="Calibri"/>
          <w:noProof/>
          <w:sz w:val="22"/>
          <w:lang w:val="es-CO" w:eastAsia="es-CO"/>
        </w:rPr>
        <w:drawing>
          <wp:inline distT="0" distB="0" distL="0" distR="0">
            <wp:extent cx="4360649" cy="35242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5441" cy="3544286"/>
                    </a:xfrm>
                    <a:prstGeom prst="rect">
                      <a:avLst/>
                    </a:prstGeom>
                    <a:noFill/>
                    <a:ln>
                      <a:noFill/>
                    </a:ln>
                  </pic:spPr>
                </pic:pic>
              </a:graphicData>
            </a:graphic>
          </wp:inline>
        </w:drawing>
      </w:r>
    </w:p>
    <w:p w:rsidR="002D6B2B" w:rsidRDefault="002D6B2B" w:rsidP="000D46F9">
      <w:pPr>
        <w:pStyle w:val="Prrafodelista"/>
        <w:ind w:left="0"/>
        <w:rPr>
          <w:rFonts w:cs="Arial"/>
          <w:sz w:val="16"/>
        </w:rPr>
      </w:pPr>
      <w:r w:rsidRPr="002D6B2B">
        <w:rPr>
          <w:rFonts w:cs="Arial"/>
          <w:b/>
          <w:sz w:val="16"/>
        </w:rPr>
        <w:t>Fuente</w:t>
      </w:r>
      <w:r w:rsidRPr="002D6B2B">
        <w:rPr>
          <w:rFonts w:cs="Arial"/>
          <w:sz w:val="16"/>
        </w:rPr>
        <w:t>: GESPROY-SGR (</w:t>
      </w:r>
      <w:hyperlink r:id="rId20" w:history="1">
        <w:r w:rsidRPr="001E1DC3">
          <w:rPr>
            <w:rStyle w:val="Hipervnculo"/>
            <w:rFonts w:cs="Arial"/>
            <w:sz w:val="16"/>
          </w:rPr>
          <w:t>www.sgr.gov.co</w:t>
        </w:r>
      </w:hyperlink>
      <w:r w:rsidRPr="002D6B2B">
        <w:rPr>
          <w:rFonts w:cs="Arial"/>
          <w:sz w:val="16"/>
        </w:rPr>
        <w:t>)</w:t>
      </w:r>
    </w:p>
    <w:p w:rsidR="002D6B2B" w:rsidRDefault="002D6B2B" w:rsidP="002D6B2B">
      <w:pPr>
        <w:rPr>
          <w:rFonts w:cs="Arial"/>
          <w:sz w:val="22"/>
        </w:rPr>
      </w:pPr>
    </w:p>
    <w:p w:rsidR="002D6B2B" w:rsidRPr="002D6B2B" w:rsidRDefault="002D6B2B" w:rsidP="00442CAC">
      <w:pPr>
        <w:pStyle w:val="Prrafodelista"/>
        <w:numPr>
          <w:ilvl w:val="0"/>
          <w:numId w:val="41"/>
        </w:numPr>
        <w:rPr>
          <w:rFonts w:cs="Arial"/>
          <w:sz w:val="22"/>
        </w:rPr>
      </w:pPr>
      <w:r w:rsidRPr="002D6B2B">
        <w:rPr>
          <w:rFonts w:cs="Arial"/>
          <w:sz w:val="22"/>
        </w:rPr>
        <w:t>Proyectos aprobados con recursos del SGR en todos sectores 971 proyectos por un valor total en recursos de $3.965.913.218.331.</w:t>
      </w:r>
    </w:p>
    <w:p w:rsidR="002D6B2B" w:rsidRPr="002D6B2B" w:rsidRDefault="002D6B2B" w:rsidP="00442CAC">
      <w:pPr>
        <w:pStyle w:val="Prrafodelista"/>
        <w:numPr>
          <w:ilvl w:val="0"/>
          <w:numId w:val="41"/>
        </w:numPr>
        <w:rPr>
          <w:rFonts w:cs="Arial"/>
          <w:sz w:val="22"/>
        </w:rPr>
      </w:pPr>
      <w:r w:rsidRPr="002D6B2B">
        <w:rPr>
          <w:rFonts w:cs="Arial"/>
          <w:sz w:val="22"/>
        </w:rPr>
        <w:t>En el Sector Transporte se han aprobado 362 proyectos, que corresponden al 37,28% del número total de proyectos aprobados, seguido de Cultura, Deporte y Recreación, así como de Educación.</w:t>
      </w:r>
    </w:p>
    <w:p w:rsidR="002D6B2B" w:rsidRDefault="002D6B2B" w:rsidP="00442CAC">
      <w:pPr>
        <w:pStyle w:val="Prrafodelista"/>
        <w:numPr>
          <w:ilvl w:val="0"/>
          <w:numId w:val="41"/>
        </w:numPr>
        <w:rPr>
          <w:rFonts w:cs="Arial"/>
          <w:sz w:val="22"/>
        </w:rPr>
      </w:pPr>
      <w:r w:rsidRPr="002D6B2B">
        <w:rPr>
          <w:rFonts w:cs="Arial"/>
          <w:sz w:val="22"/>
        </w:rPr>
        <w:t>Las principales inversiones se han concentrado en el sector Transporte que suman $2.07 billones, que representa un 52,14% respecto al valor total de proyectos aprobados con recursos del SGR, seguido de Educación y Ciencia Tecnología con porcentajes de 14,70% y 7,37%, respectivamente</w:t>
      </w:r>
    </w:p>
    <w:p w:rsidR="003C2CE1" w:rsidRDefault="003C2CE1" w:rsidP="000D46F9">
      <w:pPr>
        <w:pStyle w:val="Prrafodelista"/>
        <w:ind w:left="0"/>
        <w:rPr>
          <w:rFonts w:cs="Arial"/>
          <w:sz w:val="22"/>
        </w:rPr>
      </w:pPr>
    </w:p>
    <w:p w:rsidR="00DC286C" w:rsidRDefault="00DC286C" w:rsidP="000D46F9">
      <w:pPr>
        <w:pStyle w:val="Prrafodelista"/>
        <w:ind w:left="0"/>
        <w:rPr>
          <w:rFonts w:cs="Arial"/>
          <w:sz w:val="22"/>
        </w:rPr>
      </w:pPr>
    </w:p>
    <w:p w:rsidR="00DC286C" w:rsidRDefault="00DC286C" w:rsidP="000D46F9">
      <w:pPr>
        <w:pStyle w:val="Prrafodelista"/>
        <w:ind w:left="0"/>
        <w:rPr>
          <w:rFonts w:cs="Arial"/>
          <w:sz w:val="22"/>
        </w:rPr>
      </w:pPr>
    </w:p>
    <w:p w:rsidR="00556DD8" w:rsidRDefault="00556DD8" w:rsidP="000D46F9">
      <w:pPr>
        <w:pStyle w:val="Prrafodelista"/>
        <w:ind w:left="0"/>
        <w:rPr>
          <w:rFonts w:cs="Arial"/>
          <w:sz w:val="22"/>
        </w:rPr>
      </w:pPr>
    </w:p>
    <w:p w:rsidR="00556DD8" w:rsidRDefault="00556DD8" w:rsidP="000D46F9">
      <w:pPr>
        <w:pStyle w:val="Prrafodelista"/>
        <w:ind w:left="0"/>
        <w:rPr>
          <w:rFonts w:cs="Arial"/>
          <w:sz w:val="22"/>
        </w:rPr>
      </w:pPr>
    </w:p>
    <w:p w:rsidR="00DC286C" w:rsidRDefault="00DC286C" w:rsidP="000D46F9">
      <w:pPr>
        <w:pStyle w:val="Prrafodelista"/>
        <w:ind w:left="0"/>
        <w:rPr>
          <w:rFonts w:cs="Arial"/>
          <w:sz w:val="22"/>
        </w:rPr>
      </w:pPr>
    </w:p>
    <w:p w:rsidR="002D6B2B" w:rsidRPr="003C2CE1" w:rsidRDefault="003C2CE1" w:rsidP="000D46F9">
      <w:pPr>
        <w:pStyle w:val="Prrafodelista"/>
        <w:ind w:left="0"/>
        <w:rPr>
          <w:rFonts w:cs="Arial"/>
          <w:sz w:val="22"/>
          <w:u w:val="single"/>
        </w:rPr>
      </w:pPr>
      <w:r w:rsidRPr="003C2CE1">
        <w:rPr>
          <w:rFonts w:cs="Arial"/>
          <w:sz w:val="22"/>
          <w:u w:val="single"/>
        </w:rPr>
        <w:lastRenderedPageBreak/>
        <w:t>Inversión y proyectos por regiones</w:t>
      </w:r>
      <w:r>
        <w:rPr>
          <w:rFonts w:cs="Arial"/>
          <w:sz w:val="22"/>
          <w:u w:val="single"/>
        </w:rPr>
        <w:t>:</w:t>
      </w:r>
    </w:p>
    <w:p w:rsidR="003C2CE1" w:rsidRDefault="003C2CE1" w:rsidP="000D46F9">
      <w:pPr>
        <w:pStyle w:val="Prrafodelista"/>
        <w:ind w:left="0"/>
        <w:rPr>
          <w:rFonts w:cs="Arial"/>
          <w:sz w:val="22"/>
        </w:rPr>
      </w:pPr>
    </w:p>
    <w:p w:rsidR="002D6B2B" w:rsidRDefault="003C2CE1" w:rsidP="00FA3393">
      <w:pPr>
        <w:pStyle w:val="Prrafodelista"/>
        <w:ind w:left="0"/>
        <w:jc w:val="center"/>
        <w:rPr>
          <w:rFonts w:cs="Arial"/>
          <w:sz w:val="22"/>
        </w:rPr>
      </w:pPr>
      <w:r w:rsidRPr="00DE3EBF">
        <w:rPr>
          <w:rFonts w:cs="Calibri"/>
          <w:noProof/>
          <w:sz w:val="22"/>
          <w:lang w:val="es-CO" w:eastAsia="es-CO"/>
        </w:rPr>
        <w:drawing>
          <wp:inline distT="0" distB="0" distL="0" distR="0">
            <wp:extent cx="4105275" cy="178124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2531" cy="1788733"/>
                    </a:xfrm>
                    <a:prstGeom prst="rect">
                      <a:avLst/>
                    </a:prstGeom>
                    <a:noFill/>
                    <a:ln>
                      <a:noFill/>
                    </a:ln>
                  </pic:spPr>
                </pic:pic>
              </a:graphicData>
            </a:graphic>
          </wp:inline>
        </w:drawing>
      </w:r>
    </w:p>
    <w:p w:rsidR="003C2CE1" w:rsidRDefault="003C2CE1" w:rsidP="00BC329F">
      <w:pPr>
        <w:pStyle w:val="Prrafodelista"/>
        <w:ind w:left="0"/>
        <w:jc w:val="center"/>
        <w:rPr>
          <w:rFonts w:cs="Arial"/>
          <w:sz w:val="16"/>
        </w:rPr>
      </w:pPr>
      <w:r w:rsidRPr="00BC329F">
        <w:rPr>
          <w:rFonts w:cs="Arial"/>
          <w:sz w:val="16"/>
        </w:rPr>
        <w:t>Fuente:</w:t>
      </w:r>
      <w:r w:rsidRPr="003C2CE1">
        <w:rPr>
          <w:rFonts w:cs="Arial"/>
          <w:sz w:val="16"/>
        </w:rPr>
        <w:t xml:space="preserve"> GESPROY-SGR (</w:t>
      </w:r>
      <w:hyperlink r:id="rId22" w:history="1">
        <w:r w:rsidRPr="001E1DC3">
          <w:rPr>
            <w:rStyle w:val="Hipervnculo"/>
            <w:rFonts w:cs="Arial"/>
            <w:sz w:val="16"/>
          </w:rPr>
          <w:t>www.sgr.gov.co</w:t>
        </w:r>
      </w:hyperlink>
      <w:r w:rsidRPr="003C2CE1">
        <w:rPr>
          <w:rFonts w:cs="Arial"/>
          <w:sz w:val="16"/>
        </w:rPr>
        <w:t>)</w:t>
      </w:r>
    </w:p>
    <w:p w:rsidR="003C2CE1" w:rsidRDefault="003C2CE1" w:rsidP="000D46F9">
      <w:pPr>
        <w:pStyle w:val="Prrafodelista"/>
        <w:ind w:left="0"/>
        <w:rPr>
          <w:rFonts w:cs="Arial"/>
          <w:sz w:val="22"/>
        </w:rPr>
      </w:pPr>
    </w:p>
    <w:p w:rsidR="00FA3393" w:rsidRDefault="00FA3393" w:rsidP="000D46F9">
      <w:pPr>
        <w:pStyle w:val="Prrafodelista"/>
        <w:ind w:left="0"/>
        <w:rPr>
          <w:rFonts w:cs="Arial"/>
          <w:sz w:val="22"/>
        </w:rPr>
      </w:pPr>
      <w:r w:rsidRPr="00FA3393">
        <w:rPr>
          <w:rFonts w:cs="Arial"/>
          <w:sz w:val="22"/>
        </w:rPr>
        <w:t>Los proyectos de mayor importancia e impacto corresponden a los aprobados en los OCAD departamentales, regionales y Municipios Ribereños (Cormagdalena), es decir, el Grupo de Regalías del Ministerio intervino en la emisión de pronunciamientos técnicos de 110 proyectos aprobados del sector transporte y por OCAD donde el Ministerio ha dado Viabilidad Técnica así</w:t>
      </w:r>
      <w:r>
        <w:rPr>
          <w:rFonts w:cs="Arial"/>
          <w:sz w:val="22"/>
        </w:rPr>
        <w:t>:</w:t>
      </w:r>
    </w:p>
    <w:p w:rsidR="00FA3393" w:rsidRDefault="00FA3393" w:rsidP="000D46F9">
      <w:pPr>
        <w:pStyle w:val="Prrafodelista"/>
        <w:ind w:left="0"/>
        <w:rPr>
          <w:rFonts w:cs="Arial"/>
          <w:sz w:val="22"/>
        </w:rPr>
      </w:pPr>
    </w:p>
    <w:p w:rsidR="00FA3393" w:rsidRDefault="00FA3393" w:rsidP="00FA3393">
      <w:pPr>
        <w:pStyle w:val="Prrafodelista"/>
        <w:ind w:left="0"/>
        <w:jc w:val="center"/>
        <w:rPr>
          <w:rFonts w:cs="Arial"/>
          <w:sz w:val="22"/>
        </w:rPr>
      </w:pPr>
      <w:r w:rsidRPr="00DE3EBF">
        <w:rPr>
          <w:rFonts w:cs="Calibri"/>
          <w:noProof/>
          <w:sz w:val="22"/>
          <w:lang w:val="es-CO" w:eastAsia="es-CO"/>
        </w:rPr>
        <w:drawing>
          <wp:inline distT="0" distB="0" distL="0" distR="0">
            <wp:extent cx="3108040" cy="2872162"/>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8291" cy="2881635"/>
                    </a:xfrm>
                    <a:prstGeom prst="rect">
                      <a:avLst/>
                    </a:prstGeom>
                    <a:noFill/>
                    <a:ln>
                      <a:noFill/>
                    </a:ln>
                  </pic:spPr>
                </pic:pic>
              </a:graphicData>
            </a:graphic>
          </wp:inline>
        </w:drawing>
      </w:r>
    </w:p>
    <w:p w:rsidR="003C2CE1" w:rsidRDefault="003C2CE1" w:rsidP="000D46F9">
      <w:pPr>
        <w:pStyle w:val="Prrafodelista"/>
        <w:ind w:left="0"/>
        <w:rPr>
          <w:rFonts w:cs="Arial"/>
          <w:sz w:val="22"/>
        </w:rPr>
      </w:pPr>
    </w:p>
    <w:p w:rsidR="00FA3393" w:rsidRDefault="00FA3393" w:rsidP="00FA3393">
      <w:pPr>
        <w:pStyle w:val="Prrafodelista"/>
        <w:ind w:left="0"/>
        <w:jc w:val="center"/>
        <w:rPr>
          <w:rFonts w:cs="Arial"/>
          <w:sz w:val="22"/>
        </w:rPr>
      </w:pPr>
      <w:r w:rsidRPr="00DE3EBF">
        <w:rPr>
          <w:rFonts w:cs="Calibri"/>
          <w:noProof/>
          <w:sz w:val="22"/>
          <w:lang w:val="es-CO" w:eastAsia="es-CO"/>
        </w:rPr>
        <w:lastRenderedPageBreak/>
        <w:drawing>
          <wp:inline distT="0" distB="0" distL="0" distR="0">
            <wp:extent cx="4229100" cy="2305050"/>
            <wp:effectExtent l="38100" t="0" r="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3393" w:rsidRDefault="00FA3393" w:rsidP="000D46F9">
      <w:pPr>
        <w:pStyle w:val="Prrafodelista"/>
        <w:ind w:left="0"/>
        <w:rPr>
          <w:rFonts w:cs="Arial"/>
          <w:sz w:val="22"/>
        </w:rPr>
      </w:pPr>
    </w:p>
    <w:p w:rsidR="00D4309B" w:rsidRPr="00D4309B" w:rsidRDefault="00D4309B" w:rsidP="00D4309B">
      <w:pPr>
        <w:rPr>
          <w:rFonts w:cs="Arial"/>
          <w:sz w:val="22"/>
        </w:rPr>
      </w:pPr>
      <w:r w:rsidRPr="00D4309B">
        <w:rPr>
          <w:rFonts w:cs="Arial"/>
          <w:sz w:val="22"/>
        </w:rPr>
        <w:t>De los 110 proyectos que representan  $ 1.691.386.154.259 millones se reflejan en los siguientes subsectores:</w:t>
      </w:r>
    </w:p>
    <w:p w:rsidR="00D4309B" w:rsidRPr="00D4309B" w:rsidRDefault="00D4309B" w:rsidP="00442CAC">
      <w:pPr>
        <w:pStyle w:val="Prrafodelista"/>
        <w:numPr>
          <w:ilvl w:val="0"/>
          <w:numId w:val="42"/>
        </w:numPr>
        <w:rPr>
          <w:rFonts w:cs="Arial"/>
          <w:sz w:val="22"/>
        </w:rPr>
      </w:pPr>
      <w:r w:rsidRPr="00D4309B">
        <w:rPr>
          <w:rFonts w:cs="Arial"/>
          <w:sz w:val="22"/>
        </w:rPr>
        <w:t>45 (40,91%) son redes secundarias, con $768.192.725.801.015 millones invertidos del SGR</w:t>
      </w:r>
    </w:p>
    <w:p w:rsidR="00D4309B" w:rsidRPr="00D4309B" w:rsidRDefault="00D4309B" w:rsidP="00442CAC">
      <w:pPr>
        <w:pStyle w:val="Prrafodelista"/>
        <w:numPr>
          <w:ilvl w:val="0"/>
          <w:numId w:val="42"/>
        </w:numPr>
        <w:rPr>
          <w:rFonts w:cs="Arial"/>
          <w:sz w:val="22"/>
        </w:rPr>
      </w:pPr>
      <w:r w:rsidRPr="00D4309B">
        <w:rPr>
          <w:rFonts w:cs="Arial"/>
          <w:sz w:val="22"/>
        </w:rPr>
        <w:t>33 (30,00%) a redes urbanas, con $475.521.846.478 millones invertidos del SGR</w:t>
      </w:r>
    </w:p>
    <w:p w:rsidR="00D4309B" w:rsidRPr="00D4309B" w:rsidRDefault="00D4309B" w:rsidP="00442CAC">
      <w:pPr>
        <w:pStyle w:val="Prrafodelista"/>
        <w:numPr>
          <w:ilvl w:val="0"/>
          <w:numId w:val="42"/>
        </w:numPr>
        <w:rPr>
          <w:rFonts w:cs="Arial"/>
          <w:sz w:val="22"/>
        </w:rPr>
      </w:pPr>
      <w:r w:rsidRPr="00D4309B">
        <w:rPr>
          <w:rFonts w:cs="Arial"/>
          <w:sz w:val="22"/>
        </w:rPr>
        <w:t>22 (20.00%) a redes terciarias, con $371.650.041.947 millones invertidos del SGR</w:t>
      </w:r>
    </w:p>
    <w:p w:rsidR="00D4309B" w:rsidRPr="00D4309B" w:rsidRDefault="00D4309B" w:rsidP="00442CAC">
      <w:pPr>
        <w:pStyle w:val="Prrafodelista"/>
        <w:numPr>
          <w:ilvl w:val="0"/>
          <w:numId w:val="42"/>
        </w:numPr>
        <w:rPr>
          <w:rFonts w:cs="Arial"/>
          <w:sz w:val="22"/>
        </w:rPr>
      </w:pPr>
      <w:r w:rsidRPr="00D4309B">
        <w:rPr>
          <w:rFonts w:cs="Arial"/>
          <w:sz w:val="22"/>
        </w:rPr>
        <w:t>5 (4,55%) a redes primarias, con $35.727.500.214 millones invertidos del SGR</w:t>
      </w:r>
    </w:p>
    <w:p w:rsidR="00D4309B" w:rsidRPr="00D4309B" w:rsidRDefault="00D4309B" w:rsidP="00442CAC">
      <w:pPr>
        <w:pStyle w:val="Prrafodelista"/>
        <w:numPr>
          <w:ilvl w:val="0"/>
          <w:numId w:val="42"/>
        </w:numPr>
        <w:rPr>
          <w:rFonts w:cs="Arial"/>
          <w:sz w:val="22"/>
        </w:rPr>
      </w:pPr>
      <w:r w:rsidRPr="00D4309B">
        <w:rPr>
          <w:rFonts w:cs="Arial"/>
          <w:sz w:val="22"/>
        </w:rPr>
        <w:t>4 (3,64%) a fluvial, con $16.040.912.035 millones invertidos del SGR</w:t>
      </w:r>
    </w:p>
    <w:p w:rsidR="00FA3393" w:rsidRDefault="00D4309B" w:rsidP="00442CAC">
      <w:pPr>
        <w:pStyle w:val="Prrafodelista"/>
        <w:numPr>
          <w:ilvl w:val="0"/>
          <w:numId w:val="42"/>
        </w:numPr>
        <w:rPr>
          <w:rFonts w:cs="Arial"/>
          <w:sz w:val="22"/>
        </w:rPr>
      </w:pPr>
      <w:r w:rsidRPr="00D4309B">
        <w:rPr>
          <w:rFonts w:cs="Arial"/>
          <w:sz w:val="22"/>
        </w:rPr>
        <w:t>1 (0,91%) a aeroportuaria, con $25.253.127.784 millones invertidos del SGR</w:t>
      </w:r>
    </w:p>
    <w:p w:rsidR="00FA3393" w:rsidRDefault="00FA3393" w:rsidP="000D46F9">
      <w:pPr>
        <w:pStyle w:val="Prrafodelista"/>
        <w:ind w:left="0"/>
        <w:rPr>
          <w:rFonts w:cs="Arial"/>
          <w:sz w:val="22"/>
        </w:rPr>
      </w:pPr>
    </w:p>
    <w:p w:rsidR="00D4309B" w:rsidRPr="00D4309B" w:rsidRDefault="00D4309B" w:rsidP="00D4309B">
      <w:pPr>
        <w:rPr>
          <w:rFonts w:cs="Arial"/>
          <w:sz w:val="22"/>
        </w:rPr>
      </w:pPr>
      <w:r w:rsidRPr="00D4309B">
        <w:rPr>
          <w:rFonts w:cs="Arial"/>
          <w:b/>
          <w:sz w:val="22"/>
        </w:rPr>
        <w:t>Próximos pasos</w:t>
      </w:r>
      <w:r w:rsidRPr="00D4309B">
        <w:rPr>
          <w:rFonts w:cs="Arial"/>
          <w:sz w:val="22"/>
        </w:rPr>
        <w:t>:</w:t>
      </w:r>
    </w:p>
    <w:p w:rsidR="00D4309B" w:rsidRPr="00D4309B" w:rsidRDefault="00D4309B" w:rsidP="00442CAC">
      <w:pPr>
        <w:pStyle w:val="Prrafodelista"/>
        <w:numPr>
          <w:ilvl w:val="0"/>
          <w:numId w:val="43"/>
        </w:numPr>
        <w:rPr>
          <w:rFonts w:cs="Arial"/>
          <w:sz w:val="22"/>
        </w:rPr>
      </w:pPr>
      <w:r w:rsidRPr="00D4309B">
        <w:rPr>
          <w:rFonts w:cs="Arial"/>
          <w:sz w:val="22"/>
        </w:rPr>
        <w:t>Continuar apoyando a las Entidades Territoriales en la formulación y estructuración de proyectos a ser financiados con recursos del Sistema General de Regalías –SGR, particularmente para construcción, mejoramiento, mantenimiento y rehabilitación de la red secundaria y terciaria estratégica para la conectividad regional.</w:t>
      </w:r>
    </w:p>
    <w:p w:rsidR="00D4309B" w:rsidRPr="00D4309B" w:rsidRDefault="00D4309B" w:rsidP="00442CAC">
      <w:pPr>
        <w:pStyle w:val="Prrafodelista"/>
        <w:numPr>
          <w:ilvl w:val="0"/>
          <w:numId w:val="43"/>
        </w:numPr>
        <w:rPr>
          <w:rFonts w:cs="Arial"/>
          <w:sz w:val="22"/>
        </w:rPr>
      </w:pPr>
      <w:r w:rsidRPr="00D4309B">
        <w:rPr>
          <w:rFonts w:cs="Arial"/>
          <w:sz w:val="22"/>
        </w:rPr>
        <w:t>Promover la utilización de los recursos trasladado del Fondo de Ciencia, Tecnología e Innovación -FCTI del SGR que cuenta con recursos aprox. 1,38 billones para el desarrollo de proyectos de infraestructura de transporte requerida para la implementación del acuerdo final para la terminación del conflicto y la construcción de una paz estable y duradera. De acuerdo con el decreto ley 1634 del 5 de octubre de 2017 y acto legislativo No. 4 del 8 de septiembre de 2017</w:t>
      </w:r>
    </w:p>
    <w:p w:rsidR="00D4309B" w:rsidRDefault="00D4309B" w:rsidP="00442CAC">
      <w:pPr>
        <w:pStyle w:val="Prrafodelista"/>
        <w:numPr>
          <w:ilvl w:val="0"/>
          <w:numId w:val="43"/>
        </w:numPr>
        <w:rPr>
          <w:rFonts w:cs="Arial"/>
          <w:sz w:val="22"/>
        </w:rPr>
      </w:pPr>
      <w:r w:rsidRPr="00D4309B">
        <w:rPr>
          <w:rFonts w:cs="Arial"/>
          <w:sz w:val="22"/>
        </w:rPr>
        <w:lastRenderedPageBreak/>
        <w:t>Promover ante las Entidades Territoriales, la utilización de los recursos del Sistema General de Regalías, para la realización de los inventarios de la red vial terciaria a su cargo, conforme a lo dispuesto en el CONPES 3857 “Lineamientos de política para la gestión de la red terciaria”</w:t>
      </w:r>
    </w:p>
    <w:p w:rsidR="003C2CE1" w:rsidRPr="00DC286C" w:rsidRDefault="003C2CE1" w:rsidP="000D46F9">
      <w:pPr>
        <w:pStyle w:val="Prrafodelista"/>
        <w:ind w:left="0"/>
        <w:rPr>
          <w:rFonts w:cs="Arial"/>
          <w:sz w:val="10"/>
        </w:rPr>
      </w:pPr>
    </w:p>
    <w:p w:rsidR="00DD3FAD" w:rsidRDefault="00DD3FAD" w:rsidP="007B3218">
      <w:pPr>
        <w:pStyle w:val="Ttulo2"/>
        <w:numPr>
          <w:ilvl w:val="1"/>
          <w:numId w:val="87"/>
        </w:numPr>
      </w:pPr>
      <w:bookmarkStart w:id="45" w:name="_Toc505003485"/>
      <w:r w:rsidRPr="007012D2">
        <w:t>Proyectos de Interés Nacional y Estratégicos – PINES</w:t>
      </w:r>
      <w:bookmarkEnd w:id="45"/>
    </w:p>
    <w:p w:rsidR="00DD3FAD" w:rsidRPr="00DC286C" w:rsidRDefault="00DD3FAD" w:rsidP="00081D67">
      <w:pPr>
        <w:pStyle w:val="Prrafodelista"/>
        <w:ind w:left="0"/>
        <w:rPr>
          <w:rFonts w:cs="Arial"/>
          <w:bCs/>
          <w:sz w:val="10"/>
          <w:lang w:eastAsia="es-ES"/>
        </w:rPr>
      </w:pPr>
    </w:p>
    <w:p w:rsidR="005E40CF" w:rsidRPr="007012D2" w:rsidRDefault="005E40CF" w:rsidP="00442CAC">
      <w:pPr>
        <w:pStyle w:val="Prrafodelista"/>
        <w:numPr>
          <w:ilvl w:val="0"/>
          <w:numId w:val="25"/>
        </w:numPr>
        <w:rPr>
          <w:rFonts w:cs="Arial"/>
          <w:sz w:val="22"/>
        </w:rPr>
      </w:pPr>
      <w:r w:rsidRPr="007012D2">
        <w:rPr>
          <w:rFonts w:cs="Arial"/>
          <w:sz w:val="22"/>
        </w:rPr>
        <w:t>Más de 1000 trámites resueltos para las concesiones 4G, proyectos de Aerocivil y de INVIAS, entre los cuales se encuentran: trámites ambientales con Corporaciones, Autoridad Nacional de Licencias Ambientales -ANLA-, Dirección</w:t>
      </w:r>
      <w:r w:rsidRPr="0059451C">
        <w:rPr>
          <w:rFonts w:cs="Arial"/>
        </w:rPr>
        <w:t xml:space="preserve"> </w:t>
      </w:r>
      <w:r w:rsidRPr="007012D2">
        <w:rPr>
          <w:rFonts w:cs="Arial"/>
          <w:sz w:val="22"/>
        </w:rPr>
        <w:t>de Bosques y del Ministerio de Ambiente; trámites de consultas previas a cargo del Ministerio del Interior; y trámites arqueológicos con el Instituto Colombiano de Antropología e Historia, ICANH.</w:t>
      </w:r>
    </w:p>
    <w:p w:rsidR="005E40CF" w:rsidRPr="007012D2" w:rsidRDefault="005E40CF" w:rsidP="00442CAC">
      <w:pPr>
        <w:pStyle w:val="Prrafodelista"/>
        <w:numPr>
          <w:ilvl w:val="0"/>
          <w:numId w:val="25"/>
        </w:numPr>
        <w:rPr>
          <w:rFonts w:cs="Arial"/>
          <w:sz w:val="22"/>
        </w:rPr>
      </w:pPr>
      <w:r w:rsidRPr="007012D2">
        <w:rPr>
          <w:rFonts w:cs="Arial"/>
          <w:sz w:val="22"/>
        </w:rPr>
        <w:t>Con el seguimiento a los proyectos PINES, se ha logrado que las entidades del orden nacional, departamental y municipal se involucren en el desarrollo de los proyectos de infraestructura que el país necesita.</w:t>
      </w:r>
    </w:p>
    <w:p w:rsidR="005E40CF" w:rsidRPr="007012D2" w:rsidRDefault="005E40CF" w:rsidP="00442CAC">
      <w:pPr>
        <w:pStyle w:val="Prrafodelista"/>
        <w:numPr>
          <w:ilvl w:val="0"/>
          <w:numId w:val="25"/>
        </w:numPr>
        <w:rPr>
          <w:rFonts w:cs="Arial"/>
          <w:sz w:val="22"/>
        </w:rPr>
      </w:pPr>
      <w:r w:rsidRPr="007012D2">
        <w:rPr>
          <w:rFonts w:cs="Arial"/>
          <w:sz w:val="22"/>
        </w:rPr>
        <w:t>Articulación y comunicación directa entre las diferentes entidades involucradas para dar pronta solución a los problemas y cumplir con los compromisos establecidos.</w:t>
      </w:r>
    </w:p>
    <w:p w:rsidR="005E40CF" w:rsidRPr="007012D2" w:rsidRDefault="005E40CF" w:rsidP="00442CAC">
      <w:pPr>
        <w:pStyle w:val="Prrafodelista"/>
        <w:numPr>
          <w:ilvl w:val="0"/>
          <w:numId w:val="25"/>
        </w:numPr>
        <w:rPr>
          <w:rFonts w:cs="Arial"/>
          <w:sz w:val="22"/>
        </w:rPr>
      </w:pPr>
      <w:r w:rsidRPr="007012D2">
        <w:rPr>
          <w:rFonts w:cs="Arial"/>
          <w:sz w:val="22"/>
        </w:rPr>
        <w:t>Mesas de trabajo con las Corporaciones Autónomas que han permitido agilizar trámites y tener mayor seguimiento a los compromisos.</w:t>
      </w:r>
    </w:p>
    <w:p w:rsidR="005E40CF" w:rsidRPr="007012D2" w:rsidRDefault="005E40CF" w:rsidP="00442CAC">
      <w:pPr>
        <w:pStyle w:val="Prrafodelista"/>
        <w:numPr>
          <w:ilvl w:val="0"/>
          <w:numId w:val="25"/>
        </w:numPr>
        <w:rPr>
          <w:rFonts w:cs="Arial"/>
          <w:sz w:val="22"/>
        </w:rPr>
      </w:pPr>
      <w:r w:rsidRPr="007012D2">
        <w:rPr>
          <w:rFonts w:cs="Arial"/>
          <w:sz w:val="22"/>
        </w:rPr>
        <w:t>Firma de convenio entre Gobierno y Bogotá para el metro de Bogotá y Regiotram</w:t>
      </w:r>
    </w:p>
    <w:p w:rsidR="005E40CF" w:rsidRPr="007012D2" w:rsidRDefault="005E40CF" w:rsidP="00442CAC">
      <w:pPr>
        <w:pStyle w:val="Prrafodelista"/>
        <w:numPr>
          <w:ilvl w:val="0"/>
          <w:numId w:val="25"/>
        </w:numPr>
        <w:rPr>
          <w:rFonts w:cs="Arial"/>
          <w:sz w:val="22"/>
        </w:rPr>
      </w:pPr>
      <w:r w:rsidRPr="007012D2">
        <w:rPr>
          <w:rFonts w:cs="Arial"/>
          <w:sz w:val="22"/>
        </w:rPr>
        <w:t xml:space="preserve">Base de trámites actualizada y en línea </w:t>
      </w:r>
    </w:p>
    <w:p w:rsidR="005E40CF" w:rsidRPr="007012D2" w:rsidRDefault="005E40CF" w:rsidP="00442CAC">
      <w:pPr>
        <w:pStyle w:val="Prrafodelista"/>
        <w:numPr>
          <w:ilvl w:val="0"/>
          <w:numId w:val="25"/>
        </w:numPr>
        <w:rPr>
          <w:rFonts w:cs="Arial"/>
          <w:sz w:val="22"/>
        </w:rPr>
      </w:pPr>
      <w:r w:rsidRPr="007012D2">
        <w:rPr>
          <w:rFonts w:cs="Arial"/>
          <w:sz w:val="22"/>
        </w:rPr>
        <w:t>El 8 de marzo se inauguró el terminal internacional del aeropuerto Alfonso Bonilla Aragón.</w:t>
      </w:r>
    </w:p>
    <w:p w:rsidR="005E40CF" w:rsidRPr="007012D2" w:rsidRDefault="005E40CF" w:rsidP="00442CAC">
      <w:pPr>
        <w:pStyle w:val="Prrafodelista"/>
        <w:numPr>
          <w:ilvl w:val="0"/>
          <w:numId w:val="25"/>
        </w:numPr>
        <w:rPr>
          <w:rFonts w:cs="Arial"/>
          <w:sz w:val="22"/>
        </w:rPr>
      </w:pPr>
      <w:r w:rsidRPr="007012D2">
        <w:rPr>
          <w:rFonts w:cs="Arial"/>
          <w:sz w:val="22"/>
        </w:rPr>
        <w:t>En este período, se inauguraron 4 túneles y 16 puentes en el proyecto Bogotá - Villavicencio</w:t>
      </w:r>
    </w:p>
    <w:p w:rsidR="005E40CF" w:rsidRPr="007012D2" w:rsidRDefault="005E40CF" w:rsidP="005E40CF">
      <w:pPr>
        <w:rPr>
          <w:rFonts w:cs="Arial"/>
          <w:sz w:val="22"/>
        </w:rPr>
      </w:pPr>
      <w:r w:rsidRPr="007012D2">
        <w:rPr>
          <w:rFonts w:cs="Arial"/>
          <w:sz w:val="22"/>
        </w:rPr>
        <w:t xml:space="preserve">Trámites Cerrados (enero 2017 - noviembre 2017) </w:t>
      </w:r>
    </w:p>
    <w:tbl>
      <w:tblPr>
        <w:tblW w:w="5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78"/>
        <w:gridCol w:w="1177"/>
      </w:tblGrid>
      <w:tr w:rsidR="0059451C" w:rsidRPr="00DC286C" w:rsidTr="00DC286C">
        <w:trPr>
          <w:trHeight w:val="135"/>
          <w:jc w:val="center"/>
        </w:trPr>
        <w:tc>
          <w:tcPr>
            <w:tcW w:w="4426" w:type="pct"/>
            <w:tcMar>
              <w:top w:w="0" w:type="dxa"/>
              <w:left w:w="108" w:type="dxa"/>
              <w:bottom w:w="0" w:type="dxa"/>
              <w:right w:w="108" w:type="dxa"/>
            </w:tcMar>
            <w:hideMark/>
          </w:tcPr>
          <w:p w:rsidR="0059451C" w:rsidRPr="00DC286C" w:rsidRDefault="0059451C" w:rsidP="005077E5">
            <w:pPr>
              <w:jc w:val="center"/>
              <w:rPr>
                <w:rFonts w:cs="Calibri"/>
                <w:b/>
                <w:bCs/>
                <w:sz w:val="18"/>
                <w:szCs w:val="18"/>
                <w:lang w:val="es-CO"/>
              </w:rPr>
            </w:pPr>
            <w:r w:rsidRPr="00DC286C">
              <w:rPr>
                <w:rFonts w:cs="Calibri"/>
                <w:b/>
                <w:bCs/>
                <w:sz w:val="18"/>
                <w:szCs w:val="18"/>
                <w:lang w:val="es-CO"/>
              </w:rPr>
              <w:t>TIPO DE TRÁMITE FINALIZADO</w:t>
            </w:r>
          </w:p>
        </w:tc>
        <w:tc>
          <w:tcPr>
            <w:tcW w:w="574" w:type="pct"/>
            <w:tcMar>
              <w:top w:w="0" w:type="dxa"/>
              <w:left w:w="108" w:type="dxa"/>
              <w:bottom w:w="0" w:type="dxa"/>
              <w:right w:w="108" w:type="dxa"/>
            </w:tcMar>
            <w:hideMark/>
          </w:tcPr>
          <w:p w:rsidR="0059451C" w:rsidRPr="00DC286C" w:rsidRDefault="0059451C" w:rsidP="005077E5">
            <w:pPr>
              <w:jc w:val="center"/>
              <w:rPr>
                <w:rFonts w:cs="Calibri"/>
                <w:b/>
                <w:bCs/>
                <w:sz w:val="18"/>
                <w:szCs w:val="18"/>
                <w:lang w:val="es-CO"/>
              </w:rPr>
            </w:pPr>
            <w:r w:rsidRPr="00DC286C">
              <w:rPr>
                <w:rFonts w:cs="Calibri"/>
                <w:b/>
                <w:bCs/>
                <w:sz w:val="18"/>
                <w:szCs w:val="18"/>
                <w:lang w:val="es-CO"/>
              </w:rPr>
              <w:t>CANTIDAD</w:t>
            </w:r>
          </w:p>
        </w:tc>
      </w:tr>
      <w:tr w:rsidR="0059451C" w:rsidRPr="00DC286C" w:rsidTr="00DC286C">
        <w:trPr>
          <w:trHeight w:val="407"/>
          <w:jc w:val="center"/>
        </w:trPr>
        <w:tc>
          <w:tcPr>
            <w:tcW w:w="4426" w:type="pct"/>
            <w:tcMar>
              <w:top w:w="0" w:type="dxa"/>
              <w:left w:w="108" w:type="dxa"/>
              <w:bottom w:w="0" w:type="dxa"/>
              <w:right w:w="108" w:type="dxa"/>
            </w:tcMar>
            <w:hideMark/>
          </w:tcPr>
          <w:p w:rsidR="0059451C" w:rsidRPr="00DC286C" w:rsidRDefault="0059451C" w:rsidP="005D402E">
            <w:pPr>
              <w:rPr>
                <w:rFonts w:cs="Calibri"/>
                <w:bCs/>
                <w:color w:val="000000"/>
                <w:sz w:val="16"/>
                <w:szCs w:val="18"/>
                <w:lang w:val="es-CO"/>
              </w:rPr>
            </w:pPr>
            <w:r w:rsidRPr="00DC286C">
              <w:rPr>
                <w:rFonts w:cs="Calibri"/>
                <w:bCs/>
                <w:color w:val="000000"/>
                <w:sz w:val="16"/>
                <w:szCs w:val="18"/>
                <w:lang w:val="es-CO"/>
              </w:rPr>
              <w:t>Trámites Ambientales (Corporaciones Autónomas, la Autoridad Nacional de Licencias Ambientales- ANLA- y el Ministerio de Ambiente)</w:t>
            </w:r>
          </w:p>
        </w:tc>
        <w:tc>
          <w:tcPr>
            <w:tcW w:w="574" w:type="pct"/>
            <w:tcMar>
              <w:top w:w="0" w:type="dxa"/>
              <w:left w:w="108" w:type="dxa"/>
              <w:bottom w:w="0" w:type="dxa"/>
              <w:right w:w="108" w:type="dxa"/>
            </w:tcMar>
            <w:vAlign w:val="center"/>
            <w:hideMark/>
          </w:tcPr>
          <w:p w:rsidR="0059451C" w:rsidRPr="00DC286C" w:rsidRDefault="0059451C" w:rsidP="0059451C">
            <w:pPr>
              <w:jc w:val="center"/>
              <w:rPr>
                <w:rFonts w:cs="Calibri"/>
                <w:bCs/>
                <w:color w:val="000000"/>
                <w:sz w:val="16"/>
                <w:szCs w:val="18"/>
                <w:lang w:val="es-CO"/>
              </w:rPr>
            </w:pPr>
            <w:r w:rsidRPr="00DC286C">
              <w:rPr>
                <w:rFonts w:cs="Calibri"/>
                <w:bCs/>
                <w:color w:val="000000"/>
                <w:sz w:val="16"/>
                <w:szCs w:val="18"/>
                <w:lang w:val="es-CO"/>
              </w:rPr>
              <w:t>822</w:t>
            </w:r>
          </w:p>
        </w:tc>
      </w:tr>
      <w:tr w:rsidR="0059451C" w:rsidRPr="00DC286C" w:rsidTr="00DC286C">
        <w:trPr>
          <w:trHeight w:val="321"/>
          <w:jc w:val="center"/>
        </w:trPr>
        <w:tc>
          <w:tcPr>
            <w:tcW w:w="4426" w:type="pct"/>
            <w:tcMar>
              <w:top w:w="0" w:type="dxa"/>
              <w:left w:w="108" w:type="dxa"/>
              <w:bottom w:w="0" w:type="dxa"/>
              <w:right w:w="108" w:type="dxa"/>
            </w:tcMar>
            <w:hideMark/>
          </w:tcPr>
          <w:p w:rsidR="0059451C" w:rsidRPr="00DC286C" w:rsidRDefault="0059451C" w:rsidP="005D402E">
            <w:pPr>
              <w:rPr>
                <w:rFonts w:cs="Calibri"/>
                <w:bCs/>
                <w:color w:val="000000"/>
                <w:sz w:val="16"/>
                <w:szCs w:val="18"/>
                <w:lang w:val="es-CO"/>
              </w:rPr>
            </w:pPr>
            <w:r w:rsidRPr="00DC286C">
              <w:rPr>
                <w:rFonts w:cs="Calibri"/>
                <w:bCs/>
                <w:color w:val="000000"/>
                <w:sz w:val="16"/>
                <w:szCs w:val="18"/>
                <w:lang w:val="es-CO"/>
              </w:rPr>
              <w:t>Trámites Sociales – Ministerio del Interior</w:t>
            </w:r>
          </w:p>
        </w:tc>
        <w:tc>
          <w:tcPr>
            <w:tcW w:w="574" w:type="pct"/>
            <w:tcMar>
              <w:top w:w="0" w:type="dxa"/>
              <w:left w:w="108" w:type="dxa"/>
              <w:bottom w:w="0" w:type="dxa"/>
              <w:right w:w="108" w:type="dxa"/>
            </w:tcMar>
            <w:vAlign w:val="center"/>
            <w:hideMark/>
          </w:tcPr>
          <w:p w:rsidR="0059451C" w:rsidRPr="00DC286C" w:rsidRDefault="0059451C" w:rsidP="0059451C">
            <w:pPr>
              <w:jc w:val="center"/>
              <w:rPr>
                <w:rFonts w:cs="Calibri"/>
                <w:bCs/>
                <w:color w:val="000000"/>
                <w:sz w:val="16"/>
                <w:szCs w:val="18"/>
                <w:lang w:val="es-CO"/>
              </w:rPr>
            </w:pPr>
            <w:r w:rsidRPr="00DC286C">
              <w:rPr>
                <w:rFonts w:cs="Calibri"/>
                <w:bCs/>
                <w:color w:val="000000"/>
                <w:sz w:val="16"/>
                <w:szCs w:val="18"/>
                <w:lang w:val="es-CO"/>
              </w:rPr>
              <w:t>59</w:t>
            </w:r>
          </w:p>
        </w:tc>
      </w:tr>
      <w:tr w:rsidR="0059451C" w:rsidRPr="00DC286C" w:rsidTr="00DC286C">
        <w:trPr>
          <w:trHeight w:val="205"/>
          <w:jc w:val="center"/>
        </w:trPr>
        <w:tc>
          <w:tcPr>
            <w:tcW w:w="4426" w:type="pct"/>
            <w:tcMar>
              <w:top w:w="0" w:type="dxa"/>
              <w:left w:w="108" w:type="dxa"/>
              <w:bottom w:w="0" w:type="dxa"/>
              <w:right w:w="108" w:type="dxa"/>
            </w:tcMar>
            <w:hideMark/>
          </w:tcPr>
          <w:p w:rsidR="0059451C" w:rsidRPr="00DC286C" w:rsidRDefault="0059451C" w:rsidP="005D402E">
            <w:pPr>
              <w:rPr>
                <w:rFonts w:cs="Calibri"/>
                <w:bCs/>
                <w:color w:val="000000"/>
                <w:sz w:val="16"/>
                <w:szCs w:val="18"/>
                <w:lang w:val="es-CO"/>
              </w:rPr>
            </w:pPr>
            <w:r w:rsidRPr="00DC286C">
              <w:rPr>
                <w:rFonts w:cs="Calibri"/>
                <w:bCs/>
                <w:color w:val="000000"/>
                <w:sz w:val="16"/>
                <w:szCs w:val="18"/>
                <w:lang w:val="es-CO"/>
              </w:rPr>
              <w:t xml:space="preserve">Trámites Sociales- </w:t>
            </w:r>
            <w:r w:rsidRPr="00DC286C">
              <w:rPr>
                <w:rFonts w:cs="Calibri"/>
                <w:color w:val="000000"/>
                <w:sz w:val="16"/>
                <w:szCs w:val="18"/>
              </w:rPr>
              <w:t>Instituto Colombiano de Antropología e Historia</w:t>
            </w:r>
            <w:r w:rsidRPr="00DC286C">
              <w:rPr>
                <w:rFonts w:cs="Calibri"/>
                <w:bCs/>
                <w:color w:val="000000"/>
                <w:sz w:val="16"/>
                <w:szCs w:val="18"/>
                <w:lang w:val="es-CO"/>
              </w:rPr>
              <w:t xml:space="preserve"> -ICANH-</w:t>
            </w:r>
          </w:p>
        </w:tc>
        <w:tc>
          <w:tcPr>
            <w:tcW w:w="574" w:type="pct"/>
            <w:tcMar>
              <w:top w:w="0" w:type="dxa"/>
              <w:left w:w="108" w:type="dxa"/>
              <w:bottom w:w="0" w:type="dxa"/>
              <w:right w:w="108" w:type="dxa"/>
            </w:tcMar>
            <w:vAlign w:val="center"/>
            <w:hideMark/>
          </w:tcPr>
          <w:p w:rsidR="0059451C" w:rsidRPr="00DC286C" w:rsidRDefault="0059451C" w:rsidP="0059451C">
            <w:pPr>
              <w:jc w:val="center"/>
              <w:rPr>
                <w:rFonts w:cs="Calibri"/>
                <w:bCs/>
                <w:color w:val="000000"/>
                <w:sz w:val="16"/>
                <w:szCs w:val="18"/>
                <w:lang w:val="es-CO"/>
              </w:rPr>
            </w:pPr>
            <w:r w:rsidRPr="00DC286C">
              <w:rPr>
                <w:rFonts w:cs="Calibri"/>
                <w:bCs/>
                <w:color w:val="000000"/>
                <w:sz w:val="16"/>
                <w:szCs w:val="18"/>
                <w:lang w:val="es-CO"/>
              </w:rPr>
              <w:t>73</w:t>
            </w:r>
          </w:p>
        </w:tc>
      </w:tr>
      <w:tr w:rsidR="0059451C" w:rsidRPr="00DC286C" w:rsidTr="00DC286C">
        <w:trPr>
          <w:trHeight w:val="205"/>
          <w:jc w:val="center"/>
        </w:trPr>
        <w:tc>
          <w:tcPr>
            <w:tcW w:w="4426" w:type="pct"/>
            <w:tcMar>
              <w:top w:w="0" w:type="dxa"/>
              <w:left w:w="108" w:type="dxa"/>
              <w:bottom w:w="0" w:type="dxa"/>
              <w:right w:w="108" w:type="dxa"/>
            </w:tcMar>
            <w:hideMark/>
          </w:tcPr>
          <w:p w:rsidR="0059451C" w:rsidRPr="00DC286C" w:rsidRDefault="0059451C" w:rsidP="005D402E">
            <w:pPr>
              <w:rPr>
                <w:rFonts w:cs="Calibri"/>
                <w:bCs/>
                <w:color w:val="000000"/>
                <w:sz w:val="16"/>
                <w:szCs w:val="18"/>
                <w:lang w:val="es-CO"/>
              </w:rPr>
            </w:pPr>
            <w:r w:rsidRPr="00DC286C">
              <w:rPr>
                <w:rFonts w:cs="Calibri"/>
                <w:bCs/>
                <w:color w:val="000000"/>
                <w:sz w:val="16"/>
                <w:szCs w:val="18"/>
                <w:lang w:val="es-CO"/>
              </w:rPr>
              <w:t>Otros trámites</w:t>
            </w:r>
          </w:p>
        </w:tc>
        <w:tc>
          <w:tcPr>
            <w:tcW w:w="574" w:type="pct"/>
            <w:tcMar>
              <w:top w:w="0" w:type="dxa"/>
              <w:left w:w="108" w:type="dxa"/>
              <w:bottom w:w="0" w:type="dxa"/>
              <w:right w:w="108" w:type="dxa"/>
            </w:tcMar>
            <w:vAlign w:val="center"/>
            <w:hideMark/>
          </w:tcPr>
          <w:p w:rsidR="0059451C" w:rsidRPr="00DC286C" w:rsidRDefault="0059451C" w:rsidP="0059451C">
            <w:pPr>
              <w:jc w:val="center"/>
              <w:rPr>
                <w:rFonts w:cs="Calibri"/>
                <w:bCs/>
                <w:color w:val="000000"/>
                <w:sz w:val="16"/>
                <w:szCs w:val="18"/>
                <w:lang w:val="es-CO"/>
              </w:rPr>
            </w:pPr>
            <w:r w:rsidRPr="00DC286C">
              <w:rPr>
                <w:rFonts w:cs="Calibri"/>
                <w:bCs/>
                <w:color w:val="000000"/>
                <w:sz w:val="16"/>
                <w:szCs w:val="18"/>
                <w:lang w:val="es-CO"/>
              </w:rPr>
              <w:t>70</w:t>
            </w:r>
          </w:p>
        </w:tc>
      </w:tr>
    </w:tbl>
    <w:p w:rsidR="00556DD8" w:rsidRDefault="00556DD8" w:rsidP="005E40CF">
      <w:pPr>
        <w:rPr>
          <w:rFonts w:cs="Arial"/>
          <w:b/>
          <w:sz w:val="22"/>
        </w:rPr>
      </w:pPr>
    </w:p>
    <w:p w:rsidR="00556DD8" w:rsidRDefault="00556DD8" w:rsidP="005E40CF">
      <w:pPr>
        <w:rPr>
          <w:rFonts w:cs="Arial"/>
          <w:b/>
          <w:sz w:val="22"/>
        </w:rPr>
      </w:pPr>
    </w:p>
    <w:p w:rsidR="005E40CF" w:rsidRPr="007012D2" w:rsidRDefault="005E40CF" w:rsidP="005E40CF">
      <w:pPr>
        <w:rPr>
          <w:rFonts w:cs="Arial"/>
          <w:b/>
          <w:sz w:val="22"/>
        </w:rPr>
      </w:pPr>
      <w:r w:rsidRPr="007012D2">
        <w:rPr>
          <w:rFonts w:cs="Arial"/>
          <w:b/>
          <w:sz w:val="22"/>
        </w:rPr>
        <w:lastRenderedPageBreak/>
        <w:t>Próximos pasos</w:t>
      </w:r>
    </w:p>
    <w:p w:rsidR="005E40CF" w:rsidRPr="007012D2" w:rsidRDefault="005E40CF" w:rsidP="00442CAC">
      <w:pPr>
        <w:pStyle w:val="Prrafodelista"/>
        <w:numPr>
          <w:ilvl w:val="0"/>
          <w:numId w:val="26"/>
        </w:numPr>
        <w:rPr>
          <w:rFonts w:cs="Arial"/>
          <w:sz w:val="22"/>
        </w:rPr>
      </w:pPr>
      <w:r w:rsidRPr="007012D2">
        <w:rPr>
          <w:rFonts w:cs="Arial"/>
          <w:sz w:val="22"/>
        </w:rPr>
        <w:t>Automatizar el reporte de información de los trámites que permita hacer seguimiento a los trámites de manera más eficiente</w:t>
      </w:r>
    </w:p>
    <w:p w:rsidR="005E40CF" w:rsidRPr="007012D2" w:rsidRDefault="005E40CF" w:rsidP="00442CAC">
      <w:pPr>
        <w:pStyle w:val="Prrafodelista"/>
        <w:numPr>
          <w:ilvl w:val="0"/>
          <w:numId w:val="26"/>
        </w:numPr>
        <w:rPr>
          <w:rFonts w:cs="Arial"/>
          <w:sz w:val="22"/>
        </w:rPr>
      </w:pPr>
      <w:r w:rsidRPr="007012D2">
        <w:rPr>
          <w:rFonts w:cs="Arial"/>
          <w:sz w:val="22"/>
        </w:rPr>
        <w:t>Continuar con las mesas de trabajo con las Corporaciones</w:t>
      </w:r>
    </w:p>
    <w:p w:rsidR="005E40CF" w:rsidRPr="007012D2" w:rsidRDefault="005E40CF" w:rsidP="00442CAC">
      <w:pPr>
        <w:pStyle w:val="Prrafodelista"/>
        <w:numPr>
          <w:ilvl w:val="0"/>
          <w:numId w:val="26"/>
        </w:numPr>
        <w:rPr>
          <w:rFonts w:cs="Arial"/>
          <w:sz w:val="22"/>
        </w:rPr>
      </w:pPr>
      <w:r w:rsidRPr="007012D2">
        <w:rPr>
          <w:rFonts w:cs="Arial"/>
          <w:sz w:val="22"/>
        </w:rPr>
        <w:t>Gestionar permisos en las Corporaciones Autónomas de Tolima y Quindío para que no afecten el cronograma del proyecto Cruce de la Cordillera</w:t>
      </w:r>
    </w:p>
    <w:p w:rsidR="00A34184" w:rsidRPr="007012D2" w:rsidRDefault="005E40CF" w:rsidP="00442CAC">
      <w:pPr>
        <w:pStyle w:val="Prrafodelista"/>
        <w:numPr>
          <w:ilvl w:val="0"/>
          <w:numId w:val="26"/>
        </w:numPr>
        <w:rPr>
          <w:rFonts w:cs="Arial"/>
          <w:sz w:val="22"/>
        </w:rPr>
      </w:pPr>
      <w:r w:rsidRPr="007012D2">
        <w:rPr>
          <w:rFonts w:cs="Arial"/>
          <w:sz w:val="22"/>
        </w:rPr>
        <w:t>Fortalecimiento institucional y lineamientos de competencias técnicas de los consultores que elaboran estudios de impacto ambiental.</w:t>
      </w:r>
    </w:p>
    <w:p w:rsidR="007012D2" w:rsidRDefault="007012D2">
      <w:pPr>
        <w:spacing w:after="200" w:line="276" w:lineRule="auto"/>
        <w:jc w:val="left"/>
        <w:rPr>
          <w:rFonts w:cs="Arial"/>
        </w:rPr>
      </w:pPr>
      <w:r>
        <w:rPr>
          <w:rFonts w:cs="Arial"/>
        </w:rPr>
        <w:br w:type="page"/>
      </w:r>
    </w:p>
    <w:p w:rsidR="007B6A0C" w:rsidRPr="007E3988" w:rsidRDefault="007B6A0C" w:rsidP="003D44B7">
      <w:pPr>
        <w:pStyle w:val="Ttulo1"/>
      </w:pPr>
      <w:bookmarkStart w:id="46" w:name="_Toc473412367"/>
      <w:bookmarkStart w:id="47" w:name="_Toc473412517"/>
      <w:bookmarkStart w:id="48" w:name="_Toc505003486"/>
      <w:r w:rsidRPr="007E3988">
        <w:lastRenderedPageBreak/>
        <w:t>POLÍTICAS EN MATERIA DE TRANSPORTE</w:t>
      </w:r>
      <w:bookmarkEnd w:id="46"/>
      <w:bookmarkEnd w:id="47"/>
      <w:bookmarkEnd w:id="48"/>
    </w:p>
    <w:p w:rsidR="005C3F3B" w:rsidRPr="007012D2" w:rsidRDefault="005C3F3B" w:rsidP="005C3F3B">
      <w:pPr>
        <w:rPr>
          <w:rFonts w:cs="Arial"/>
          <w:sz w:val="22"/>
          <w:lang w:val="es-CO"/>
        </w:rPr>
      </w:pPr>
    </w:p>
    <w:p w:rsidR="009234F7" w:rsidRPr="007012D2" w:rsidRDefault="004023B5" w:rsidP="005C3F3B">
      <w:pPr>
        <w:rPr>
          <w:rFonts w:cs="Arial"/>
          <w:sz w:val="22"/>
          <w:lang w:val="es-CO"/>
        </w:rPr>
      </w:pPr>
      <w:r w:rsidRPr="007012D2">
        <w:rPr>
          <w:rFonts w:cs="Arial"/>
          <w:sz w:val="22"/>
          <w:lang w:val="es-CO"/>
        </w:rPr>
        <w:t>A continuación se presentan los logros de la gestión realizada por el Viceministerio de Transporte en ésta vigencia,  dentro de los cuales sin lugar a dudas, como hecho histórico se debe destacar que Gobierno Nacional a través de la cartera de Transporte y con el apoyo técnico del Viceministerio de Transporte, firmó el convenio de cofinanciación del Regiotram de Occidente, el Metro de Bogotá y las fases II y III del Transmilenio en Soacha, tres importantes proyectos que transformarán la movilidad de Cundinamarca</w:t>
      </w:r>
      <w:r w:rsidR="007012D2" w:rsidRPr="007012D2">
        <w:rPr>
          <w:rFonts w:cs="Arial"/>
          <w:sz w:val="22"/>
          <w:lang w:val="es-CO"/>
        </w:rPr>
        <w:t>.</w:t>
      </w:r>
    </w:p>
    <w:p w:rsidR="007012D2" w:rsidRPr="007012D2" w:rsidRDefault="007012D2" w:rsidP="005C3F3B">
      <w:pPr>
        <w:rPr>
          <w:rFonts w:cs="Arial"/>
          <w:sz w:val="22"/>
          <w:lang w:val="es-CO"/>
        </w:rPr>
      </w:pPr>
    </w:p>
    <w:p w:rsidR="007012D2" w:rsidRPr="007012D2" w:rsidRDefault="007012D2" w:rsidP="007012D2">
      <w:pPr>
        <w:rPr>
          <w:rFonts w:cs="Arial"/>
          <w:sz w:val="22"/>
          <w:lang w:val="es-CO"/>
        </w:rPr>
      </w:pPr>
      <w:r w:rsidRPr="007012D2">
        <w:rPr>
          <w:rFonts w:cs="Arial"/>
          <w:sz w:val="22"/>
          <w:lang w:val="es-CO"/>
        </w:rPr>
        <w:t>Durante la construcción de estos sistemas, el Ministerio de Transporte, a través de la Unidad de Movilidad Urbana Sostenible (UMUS) del Viceministerio de Transporte llevará el seguimiento respectivo verificando el uso adecuado de los recursos incluidos en los convenios de cofinanciación.</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A continuación, se describen en detalle las características de cada uno:</w:t>
      </w:r>
    </w:p>
    <w:p w:rsidR="007012D2" w:rsidRPr="007012D2" w:rsidRDefault="007012D2" w:rsidP="007012D2">
      <w:pPr>
        <w:rPr>
          <w:rFonts w:cs="Arial"/>
          <w:sz w:val="22"/>
          <w:lang w:val="es-CO"/>
        </w:rPr>
      </w:pPr>
    </w:p>
    <w:p w:rsidR="007012D2" w:rsidRDefault="007012D2" w:rsidP="002F6F82">
      <w:pPr>
        <w:pStyle w:val="Ttulo2"/>
        <w:numPr>
          <w:ilvl w:val="1"/>
          <w:numId w:val="87"/>
        </w:numPr>
        <w:rPr>
          <w:lang w:val="es-CO"/>
        </w:rPr>
      </w:pPr>
      <w:bookmarkStart w:id="49" w:name="_Toc505003487"/>
      <w:r>
        <w:rPr>
          <w:lang w:val="es-CO"/>
        </w:rPr>
        <w:t>Metro de Bogotá</w:t>
      </w:r>
      <w:bookmarkEnd w:id="49"/>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b/>
          <w:sz w:val="22"/>
          <w:lang w:val="es-CO"/>
        </w:rPr>
        <w:t>Antecedentes</w:t>
      </w:r>
      <w:r w:rsidRPr="007012D2">
        <w:rPr>
          <w:rFonts w:cs="Arial"/>
          <w:sz w:val="22"/>
          <w:lang w:val="es-CO"/>
        </w:rPr>
        <w:t>:</w:t>
      </w:r>
    </w:p>
    <w:p w:rsidR="007012D2" w:rsidRPr="007012D2" w:rsidRDefault="007012D2" w:rsidP="00442CAC">
      <w:pPr>
        <w:pStyle w:val="Prrafodelista"/>
        <w:numPr>
          <w:ilvl w:val="0"/>
          <w:numId w:val="44"/>
        </w:numPr>
        <w:rPr>
          <w:rFonts w:cs="Arial"/>
          <w:sz w:val="22"/>
          <w:lang w:val="es-CO"/>
        </w:rPr>
      </w:pPr>
      <w:r w:rsidRPr="007012D2">
        <w:rPr>
          <w:rFonts w:cs="Arial"/>
          <w:sz w:val="22"/>
          <w:lang w:val="es-CO"/>
        </w:rPr>
        <w:t>El Instituto de Desarrollo Urbano – IDU y la Financiera de Desarrollo Nacional – FDN suscribieron el Convenio Interadministrativo No. 1880 de 2014 que tiene por objeto: “Aunar esfuerzos para el desarrollo de las actividades relacionadas con la estructuración integral del proyecto Primera Línea del Metro de Bogotá en dos fases a saber: Fase 1, denominada Diseño de la Transacción y Fase 2, denominada Estructuración Integral”.</w:t>
      </w:r>
    </w:p>
    <w:p w:rsidR="007012D2" w:rsidRPr="007012D2" w:rsidRDefault="007012D2" w:rsidP="00442CAC">
      <w:pPr>
        <w:pStyle w:val="Prrafodelista"/>
        <w:numPr>
          <w:ilvl w:val="0"/>
          <w:numId w:val="44"/>
        </w:numPr>
        <w:rPr>
          <w:rFonts w:cs="Arial"/>
          <w:sz w:val="22"/>
          <w:lang w:val="es-CO"/>
        </w:rPr>
      </w:pPr>
      <w:r w:rsidRPr="007012D2">
        <w:rPr>
          <w:rFonts w:cs="Arial"/>
          <w:sz w:val="22"/>
          <w:lang w:val="es-CO"/>
        </w:rPr>
        <w:t xml:space="preserve">En el marco de este convenio, la FDN suscribió el 1 de abril de 2016 el contrato No. 02 de 2016 PLMB, con la firma Systra S.A., para la “Elaboración de un estudio que compare las alternativas de ejecución por tramos y tipologías de la Primera Línea del Metro para la ciudad de Bogotá - PLMB, identificando y cuantificando ahorros que optimicen el beneficio, teniendo en cuenta la disponibilidad presupuestal para la inversión y los costos de operación durante el ciclo de vida del proyecto”. </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b/>
          <w:sz w:val="22"/>
          <w:lang w:val="es-CO"/>
        </w:rPr>
        <w:lastRenderedPageBreak/>
        <w:t>Logros</w:t>
      </w:r>
      <w:r w:rsidRPr="007012D2">
        <w:rPr>
          <w:rFonts w:cs="Arial"/>
          <w:sz w:val="22"/>
          <w:lang w:val="es-CO"/>
        </w:rPr>
        <w:t>:</w:t>
      </w:r>
    </w:p>
    <w:p w:rsidR="007012D2" w:rsidRPr="007012D2" w:rsidRDefault="007012D2" w:rsidP="00442CAC">
      <w:pPr>
        <w:pStyle w:val="Prrafodelista"/>
        <w:numPr>
          <w:ilvl w:val="0"/>
          <w:numId w:val="45"/>
        </w:numPr>
        <w:rPr>
          <w:rFonts w:cs="Arial"/>
          <w:sz w:val="22"/>
          <w:lang w:val="es-CO"/>
        </w:rPr>
      </w:pPr>
      <w:r w:rsidRPr="007012D2">
        <w:rPr>
          <w:rFonts w:cs="Arial"/>
          <w:sz w:val="22"/>
          <w:lang w:val="es-CO"/>
        </w:rPr>
        <w:t>Con los resultados obtenidos en el estudio de optimización para el proyecto de la Primera Línea del Metro de Bogotá, con el apoyo del Ministerio de Transporte se elabora el CONPES 3882 de 2017, denominado "Apoyo del Gobierno Nacional a la política de movilidad de la región capital Bogotá-Cundinamarca y declaratoria de importancia estratégica del proyecto Sistema Integrado de Transporte Masivo – Soacha fases II y III". CONPES publicado en enero de 2017.</w:t>
      </w:r>
    </w:p>
    <w:p w:rsidR="007012D2" w:rsidRPr="007012D2" w:rsidRDefault="007012D2" w:rsidP="00442CAC">
      <w:pPr>
        <w:pStyle w:val="Prrafodelista"/>
        <w:numPr>
          <w:ilvl w:val="0"/>
          <w:numId w:val="45"/>
        </w:numPr>
        <w:rPr>
          <w:rFonts w:cs="Arial"/>
          <w:sz w:val="22"/>
          <w:lang w:val="es-CO"/>
        </w:rPr>
      </w:pPr>
      <w:r w:rsidRPr="007012D2">
        <w:rPr>
          <w:rFonts w:cs="Arial"/>
          <w:sz w:val="22"/>
          <w:lang w:val="es-CO"/>
        </w:rPr>
        <w:t>Con la publicación del CONPES 3882, el Ministerio de Transporte firma en abril de 2017 la Resolución 1023 de 2017, cuyo objeto es "la Adopción de la Metodología de Componentes Elegibles y Aportes en Especie" para el proyecto de la Primera Línea de Metro de Bogotá y para el Transmilenio Fase II y Fase III de Soacha.</w:t>
      </w:r>
    </w:p>
    <w:p w:rsidR="007012D2" w:rsidRPr="007012D2" w:rsidRDefault="007012D2" w:rsidP="00442CAC">
      <w:pPr>
        <w:pStyle w:val="Prrafodelista"/>
        <w:numPr>
          <w:ilvl w:val="0"/>
          <w:numId w:val="45"/>
        </w:numPr>
        <w:rPr>
          <w:rFonts w:cs="Arial"/>
          <w:sz w:val="22"/>
          <w:lang w:val="es-CO"/>
        </w:rPr>
      </w:pPr>
      <w:r w:rsidRPr="007012D2">
        <w:rPr>
          <w:rFonts w:cs="Arial"/>
          <w:sz w:val="22"/>
          <w:lang w:val="es-CO"/>
        </w:rPr>
        <w:t>Con el apoyo del Ministerio de Transporte se elabora el CONPES 3899, denominado "Actualización del documento CONPES 3882 apoyo del Gobierno Nacional a la política de movilidad de la región capital Bogotá-Cundinamarca y declaratoria de importancia estratégica del proyecto Sistema Integrado de Transporte Masivo – Soacha Fases II Y III". CONPES publicado en septiembre de 2017.</w:t>
      </w:r>
    </w:p>
    <w:p w:rsidR="007012D2" w:rsidRPr="007012D2" w:rsidRDefault="007012D2" w:rsidP="00442CAC">
      <w:pPr>
        <w:pStyle w:val="Prrafodelista"/>
        <w:numPr>
          <w:ilvl w:val="0"/>
          <w:numId w:val="45"/>
        </w:numPr>
        <w:rPr>
          <w:rFonts w:cs="Arial"/>
          <w:sz w:val="22"/>
          <w:lang w:val="es-CO"/>
        </w:rPr>
      </w:pPr>
      <w:r w:rsidRPr="007012D2">
        <w:rPr>
          <w:rFonts w:cs="Arial"/>
          <w:sz w:val="22"/>
          <w:lang w:val="es-CO"/>
        </w:rPr>
        <w:t>A la luz del CONPES 3899, el Distrito Capital formaliza y entrega los requisitos establecidos en dicho CONPES para continuar con el proceso de cofinanciación por parte de la Nación al proyecto de la Primera Línea del Metro de Bogotá. Como resultado, se declara de importancia estratégica el proyecto del Tramo a través del CONPES 3900, el cual define el costo del proyecto que ascienda a un valor de $ 12.94 billones.</w:t>
      </w:r>
    </w:p>
    <w:p w:rsidR="007012D2" w:rsidRPr="007012D2" w:rsidRDefault="007012D2" w:rsidP="00442CAC">
      <w:pPr>
        <w:pStyle w:val="Prrafodelista"/>
        <w:numPr>
          <w:ilvl w:val="0"/>
          <w:numId w:val="45"/>
        </w:numPr>
        <w:rPr>
          <w:rFonts w:cs="Arial"/>
          <w:sz w:val="22"/>
          <w:lang w:val="es-CO"/>
        </w:rPr>
      </w:pPr>
      <w:r w:rsidRPr="007012D2">
        <w:rPr>
          <w:rFonts w:cs="Arial"/>
          <w:sz w:val="22"/>
          <w:lang w:val="es-CO"/>
        </w:rPr>
        <w:t>El 9 de noviembre de 2017 se firmó el convenio de cofinanciación entre la Nación (Ministerio de Hacienda y Ministerio de Transporte) y el Distrito para la financiación del tramo I de la Primera Línea de Metro de Bogotá.</w:t>
      </w:r>
    </w:p>
    <w:p w:rsidR="007012D2" w:rsidRPr="007012D2" w:rsidRDefault="007012D2" w:rsidP="00442CAC">
      <w:pPr>
        <w:pStyle w:val="Prrafodelista"/>
        <w:numPr>
          <w:ilvl w:val="0"/>
          <w:numId w:val="45"/>
        </w:numPr>
        <w:rPr>
          <w:rFonts w:cs="Arial"/>
          <w:sz w:val="22"/>
          <w:lang w:val="es-CO"/>
        </w:rPr>
      </w:pPr>
      <w:r w:rsidRPr="007012D2">
        <w:rPr>
          <w:rFonts w:cs="Arial"/>
          <w:sz w:val="22"/>
          <w:lang w:val="es-CO"/>
        </w:rPr>
        <w:t xml:space="preserve">Como complemento a los logros anteriormente descritos, el 20 de octubre de 2016 el Ministerio de Transporte suscribió con la Empresa de Transporte de Pasajeros Metro S.A. (Metro de Santiago) un contrato de consultoría cuyo objeto es: “Asistencia integral al proyecto de la Primera Línea de Metro de Bogotá y su integración al Sistema Integrado de Transporte Público -SITP- del Distrito Capital y  el Sistema Integrado de Transporte Regional – SITR- ” que permita crear la capacidad institucional, administrativa, técnica y operativa requerida para adelantar el proyecto y acompañar a la entidad gestora y ejecutora durante los procesos de estructuración y contratación de </w:t>
      </w:r>
      <w:r w:rsidRPr="007012D2">
        <w:rPr>
          <w:rFonts w:cs="Arial"/>
          <w:sz w:val="22"/>
          <w:lang w:val="es-CO"/>
        </w:rPr>
        <w:lastRenderedPageBreak/>
        <w:t>los componentes del mismo”, en el cual a la fecha se viene apoyando al Distrito en la estructuración técnica para el componente civil de la obra y la definición del material rodante, como parte del respaldo del Gobierno Nacional a la consolidación de un Sistema Integrado de Transporte Público para la capital del país.</w:t>
      </w:r>
    </w:p>
    <w:p w:rsidR="007012D2" w:rsidRPr="007012D2" w:rsidRDefault="007012D2" w:rsidP="007012D2">
      <w:pPr>
        <w:rPr>
          <w:rFonts w:cs="Arial"/>
          <w:sz w:val="22"/>
          <w:lang w:val="es-CO"/>
        </w:rPr>
      </w:pPr>
    </w:p>
    <w:p w:rsidR="007012D2" w:rsidRDefault="007012D2" w:rsidP="002F6F82">
      <w:pPr>
        <w:pStyle w:val="Ttulo2"/>
        <w:numPr>
          <w:ilvl w:val="1"/>
          <w:numId w:val="87"/>
        </w:numPr>
        <w:rPr>
          <w:lang w:val="es-CO"/>
        </w:rPr>
      </w:pPr>
      <w:bookmarkStart w:id="50" w:name="_Toc505003488"/>
      <w:r w:rsidRPr="007012D2">
        <w:rPr>
          <w:lang w:val="es-CO"/>
        </w:rPr>
        <w:t>R</w:t>
      </w:r>
      <w:r>
        <w:rPr>
          <w:lang w:val="es-CO"/>
        </w:rPr>
        <w:t>egiotram</w:t>
      </w:r>
      <w:bookmarkEnd w:id="50"/>
    </w:p>
    <w:p w:rsidR="007012D2" w:rsidRPr="007012D2" w:rsidRDefault="007012D2" w:rsidP="007012D2">
      <w:pPr>
        <w:rPr>
          <w:rFonts w:cs="Arial"/>
          <w:sz w:val="22"/>
          <w:lang w:val="es-CO"/>
        </w:rPr>
      </w:pPr>
    </w:p>
    <w:p w:rsidR="007012D2" w:rsidRPr="007012D2" w:rsidRDefault="007012D2" w:rsidP="007012D2">
      <w:pPr>
        <w:rPr>
          <w:rFonts w:cs="Arial"/>
          <w:sz w:val="22"/>
          <w:u w:val="single"/>
          <w:lang w:val="es-CO"/>
        </w:rPr>
      </w:pPr>
      <w:r w:rsidRPr="007012D2">
        <w:rPr>
          <w:rFonts w:cs="Arial"/>
          <w:sz w:val="22"/>
          <w:u w:val="single"/>
          <w:lang w:val="es-CO"/>
        </w:rPr>
        <w:t>Antecedentes</w:t>
      </w:r>
      <w:r>
        <w:rPr>
          <w:rFonts w:cs="Arial"/>
          <w:sz w:val="22"/>
          <w:u w:val="single"/>
          <w:lang w:val="es-CO"/>
        </w:rPr>
        <w:t>:</w:t>
      </w:r>
    </w:p>
    <w:p w:rsidR="007012D2" w:rsidRPr="007012D2" w:rsidRDefault="007012D2" w:rsidP="007012D2">
      <w:pPr>
        <w:rPr>
          <w:rFonts w:cs="Arial"/>
          <w:sz w:val="22"/>
          <w:lang w:val="es-CO"/>
        </w:rPr>
      </w:pPr>
      <w:r w:rsidRPr="007012D2">
        <w:rPr>
          <w:rFonts w:cs="Arial"/>
          <w:sz w:val="22"/>
          <w:lang w:val="es-CO"/>
        </w:rPr>
        <w:t>La Agencia Nacional de Infraestructura - ANI, la Empresa Férrea Regional y el Departamento de Cundinamarca suscribieron el convenio No. 006 de 2014. En el marco de dicho Convenio ANI adelantó la evaluación de factibilidad del proyecto RegioTram de Occidente, que inicialmente fue radicado como un proyecto de APP de iniciativa pública. Resultado de la evaluación ANI certificó que el proyecto cumple con los requisitos de factibilidad establecidos en la Ley.</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u w:val="single"/>
          <w:lang w:val="es-CO"/>
        </w:rPr>
        <w:t>Logros</w:t>
      </w:r>
      <w:r>
        <w:rPr>
          <w:rFonts w:cs="Arial"/>
          <w:sz w:val="22"/>
          <w:lang w:val="es-CO"/>
        </w:rPr>
        <w:t>:</w:t>
      </w:r>
    </w:p>
    <w:p w:rsidR="007012D2" w:rsidRPr="007012D2" w:rsidRDefault="007012D2" w:rsidP="00442CAC">
      <w:pPr>
        <w:pStyle w:val="Prrafodelista"/>
        <w:numPr>
          <w:ilvl w:val="0"/>
          <w:numId w:val="46"/>
        </w:numPr>
        <w:rPr>
          <w:rFonts w:cs="Arial"/>
          <w:sz w:val="22"/>
          <w:lang w:val="es-CO"/>
        </w:rPr>
      </w:pPr>
      <w:r w:rsidRPr="007012D2">
        <w:rPr>
          <w:rFonts w:cs="Arial"/>
          <w:sz w:val="22"/>
          <w:lang w:val="es-CO"/>
        </w:rPr>
        <w:t>Con los resultados obtenidos en los estudios de factibilidad del proyecto con el apoyo del Ministerio de Transporte se elabora el CONPES 3882 de 2017, denominado "Apoyo del Gobierno Nacional a la política de movilidad de la región capital Bogotá-Cundinamarca y declaratoria de importancia estratégica del proyecto Sistema Integrado de Transporte Masivo – Soacha Fases II Y III". CONPES publicado en enero de 2017.</w:t>
      </w:r>
    </w:p>
    <w:p w:rsidR="007012D2" w:rsidRPr="007012D2" w:rsidRDefault="007012D2" w:rsidP="00442CAC">
      <w:pPr>
        <w:pStyle w:val="Prrafodelista"/>
        <w:numPr>
          <w:ilvl w:val="0"/>
          <w:numId w:val="46"/>
        </w:numPr>
        <w:rPr>
          <w:rFonts w:cs="Arial"/>
          <w:sz w:val="22"/>
          <w:lang w:val="es-CO"/>
        </w:rPr>
      </w:pPr>
      <w:r w:rsidRPr="007012D2">
        <w:rPr>
          <w:rFonts w:cs="Arial"/>
          <w:sz w:val="22"/>
          <w:lang w:val="es-CO"/>
        </w:rPr>
        <w:t>Con el apoyo del Ministerio de Transporte se elabora el CONPES 3899, denominado "Actualización del documento CONPES 3882 apoyo del Gobierno Nacional a la política de movilidad de la región capital Bogotá-Cundinamarca y declaratoria de importancia estratégica del proyecto Sistema Integrado de Transporte Masivo – Soacha fases II Y III". CONPES publicado en septiembre de 2017.</w:t>
      </w:r>
    </w:p>
    <w:p w:rsidR="007012D2" w:rsidRPr="007012D2" w:rsidRDefault="007012D2" w:rsidP="00442CAC">
      <w:pPr>
        <w:pStyle w:val="Prrafodelista"/>
        <w:numPr>
          <w:ilvl w:val="0"/>
          <w:numId w:val="46"/>
        </w:numPr>
        <w:rPr>
          <w:rFonts w:cs="Arial"/>
          <w:sz w:val="22"/>
          <w:lang w:val="es-CO"/>
        </w:rPr>
      </w:pPr>
      <w:r w:rsidRPr="007012D2">
        <w:rPr>
          <w:rFonts w:cs="Arial"/>
          <w:sz w:val="22"/>
          <w:lang w:val="es-CO"/>
        </w:rPr>
        <w:t>A la luz del documento CONPES 3899, el Departamento de Cundinamarca formaliza y entrega los requisitos establecidos en dicho CONPES para continuar con el proceso de cofinanciación por parte de la Nación al proyecto RegioTram de Occidente. Como resultado, se declara de importancia estratégica el proyecto a través del documento CONPES 3902 de octubre de 2017.</w:t>
      </w:r>
    </w:p>
    <w:p w:rsidR="007012D2" w:rsidRPr="007012D2" w:rsidRDefault="007012D2" w:rsidP="00442CAC">
      <w:pPr>
        <w:pStyle w:val="Prrafodelista"/>
        <w:numPr>
          <w:ilvl w:val="0"/>
          <w:numId w:val="46"/>
        </w:numPr>
        <w:rPr>
          <w:rFonts w:cs="Arial"/>
          <w:sz w:val="22"/>
          <w:lang w:val="es-CO"/>
        </w:rPr>
      </w:pPr>
      <w:r w:rsidRPr="007012D2">
        <w:rPr>
          <w:rFonts w:cs="Arial"/>
          <w:sz w:val="22"/>
          <w:lang w:val="es-CO"/>
        </w:rPr>
        <w:lastRenderedPageBreak/>
        <w:t>El 9 de noviembre de 2017 se firmó el convenio de cofinanciación entre la Nación (Ministerio de Hacienda y Ministerio de Transporte) y el Departamento de Cundinamarca para la financiación del proyecto RegioTram de Occidente, comprometiendo recursos por un valor de 1,9 billones de pesos constantes de 2017</w:t>
      </w:r>
    </w:p>
    <w:p w:rsidR="007012D2" w:rsidRPr="007012D2" w:rsidRDefault="007012D2" w:rsidP="007012D2">
      <w:pPr>
        <w:rPr>
          <w:rFonts w:cs="Arial"/>
          <w:sz w:val="22"/>
          <w:lang w:val="es-CO"/>
        </w:rPr>
      </w:pPr>
    </w:p>
    <w:p w:rsidR="007012D2" w:rsidRDefault="007012D2" w:rsidP="000E47B0">
      <w:pPr>
        <w:pStyle w:val="Ttulo2"/>
        <w:numPr>
          <w:ilvl w:val="1"/>
          <w:numId w:val="87"/>
        </w:numPr>
        <w:rPr>
          <w:lang w:val="es-CO"/>
        </w:rPr>
      </w:pPr>
      <w:bookmarkStart w:id="51" w:name="_Toc505003489"/>
      <w:r w:rsidRPr="007012D2">
        <w:rPr>
          <w:lang w:val="es-CO"/>
        </w:rPr>
        <w:t>T</w:t>
      </w:r>
      <w:r>
        <w:rPr>
          <w:lang w:val="es-CO"/>
        </w:rPr>
        <w:t xml:space="preserve">ransmilenio Soacha Fases </w:t>
      </w:r>
      <w:r w:rsidRPr="007012D2">
        <w:rPr>
          <w:lang w:val="es-CO"/>
        </w:rPr>
        <w:t xml:space="preserve">II </w:t>
      </w:r>
      <w:r>
        <w:rPr>
          <w:lang w:val="es-CO"/>
        </w:rPr>
        <w:t>y</w:t>
      </w:r>
      <w:r w:rsidRPr="007012D2">
        <w:rPr>
          <w:lang w:val="es-CO"/>
        </w:rPr>
        <w:t xml:space="preserve"> III</w:t>
      </w:r>
      <w:bookmarkEnd w:id="51"/>
    </w:p>
    <w:p w:rsidR="007012D2" w:rsidRPr="007012D2" w:rsidRDefault="007012D2" w:rsidP="007012D2">
      <w:pPr>
        <w:rPr>
          <w:rFonts w:cs="Arial"/>
          <w:sz w:val="22"/>
          <w:lang w:val="es-CO"/>
        </w:rPr>
      </w:pPr>
    </w:p>
    <w:p w:rsidR="007012D2" w:rsidRPr="007012D2" w:rsidRDefault="007012D2" w:rsidP="007012D2">
      <w:pPr>
        <w:rPr>
          <w:rFonts w:cs="Arial"/>
          <w:sz w:val="22"/>
          <w:u w:val="single"/>
          <w:lang w:val="es-CO"/>
        </w:rPr>
      </w:pPr>
      <w:r w:rsidRPr="007012D2">
        <w:rPr>
          <w:rFonts w:cs="Arial"/>
          <w:sz w:val="22"/>
          <w:u w:val="single"/>
          <w:lang w:val="es-CO"/>
        </w:rPr>
        <w:t>Antecedentes</w:t>
      </w:r>
      <w:r>
        <w:rPr>
          <w:rFonts w:cs="Arial"/>
          <w:sz w:val="22"/>
          <w:u w:val="single"/>
          <w:lang w:val="es-CO"/>
        </w:rPr>
        <w:t>:</w:t>
      </w:r>
    </w:p>
    <w:p w:rsidR="007012D2" w:rsidRPr="007012D2" w:rsidRDefault="007012D2" w:rsidP="007012D2">
      <w:pPr>
        <w:rPr>
          <w:rFonts w:cs="Arial"/>
          <w:sz w:val="22"/>
          <w:lang w:val="es-CO"/>
        </w:rPr>
      </w:pPr>
      <w:r w:rsidRPr="007012D2">
        <w:rPr>
          <w:rFonts w:cs="Arial"/>
          <w:sz w:val="22"/>
          <w:lang w:val="es-CO"/>
        </w:rPr>
        <w:t xml:space="preserve">En diciembre de 2013, el Departamento de Cundinamarca a través del contrato STM-099 de 2013 contrató la realización de estudios y diseños de Ingeniería de detalle de la Extensión de Transmilenio al municipio de Soacha en sus fases II y III.   En diciembre de 2016, el Departamento de Cundinamarca suscribió el contrato Interadministrativo 064/2016 con la FDN, cuyo objeto fue la realización de la estructuración integral para la construcción de las fases II y III de Transmilenio al municipio de Soacha de la extensión de la troncal NQS de Transmilenio al municipio de Soacha. </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u w:val="single"/>
          <w:lang w:val="es-CO"/>
        </w:rPr>
        <w:t>Logros</w:t>
      </w:r>
      <w:r>
        <w:rPr>
          <w:rFonts w:cs="Arial"/>
          <w:sz w:val="22"/>
          <w:lang w:val="es-CO"/>
        </w:rPr>
        <w:t>:</w:t>
      </w:r>
    </w:p>
    <w:p w:rsidR="007012D2" w:rsidRPr="007012D2" w:rsidRDefault="007012D2" w:rsidP="00442CAC">
      <w:pPr>
        <w:pStyle w:val="Prrafodelista"/>
        <w:numPr>
          <w:ilvl w:val="0"/>
          <w:numId w:val="47"/>
        </w:numPr>
        <w:rPr>
          <w:rFonts w:cs="Arial"/>
          <w:sz w:val="22"/>
          <w:lang w:val="es-CO"/>
        </w:rPr>
      </w:pPr>
      <w:r w:rsidRPr="007012D2">
        <w:rPr>
          <w:rFonts w:cs="Arial"/>
          <w:sz w:val="22"/>
          <w:lang w:val="es-CO"/>
        </w:rPr>
        <w:t>Con el resultado obtenido en el diseño de ingeniería de detalle proporcionado por el Departamento de Cundinamarca, y con el apoyo del Ministerio de Transporte se elabora el CONPES 3882 de 2017, denominado ""Apoyo del Gobierno Nacional a la política de movilidad de la región capital Bogotá-Cundinamarca y declaratoria de importancia estratégica del proyecto Sistema Integrado de Transporte Masivo – Soacha Fases II Y III". CONPES publicado en enero de 2017.</w:t>
      </w:r>
    </w:p>
    <w:p w:rsidR="007012D2" w:rsidRPr="007012D2" w:rsidRDefault="007012D2" w:rsidP="00442CAC">
      <w:pPr>
        <w:pStyle w:val="Prrafodelista"/>
        <w:numPr>
          <w:ilvl w:val="0"/>
          <w:numId w:val="47"/>
        </w:numPr>
        <w:rPr>
          <w:rFonts w:cs="Arial"/>
          <w:sz w:val="22"/>
          <w:lang w:val="es-CO"/>
        </w:rPr>
      </w:pPr>
      <w:r w:rsidRPr="007012D2">
        <w:rPr>
          <w:rFonts w:cs="Arial"/>
          <w:sz w:val="22"/>
          <w:lang w:val="es-CO"/>
        </w:rPr>
        <w:t>Con la publicación del CONPES 3882, el Ministerio de Transporte en abril de 2017 firma la Resolución 1023 de 2017, cuyo objeto es "la Adopción de la Metodología de Componentes Elegibles y Aportes en Especie" para el proyecto de la Primera Línea del Metro de Bogotá y para Transmilenio Fase II y Fase III de Soacha.</w:t>
      </w:r>
    </w:p>
    <w:p w:rsidR="007012D2" w:rsidRPr="007012D2" w:rsidRDefault="007012D2" w:rsidP="00442CAC">
      <w:pPr>
        <w:pStyle w:val="Prrafodelista"/>
        <w:numPr>
          <w:ilvl w:val="0"/>
          <w:numId w:val="47"/>
        </w:numPr>
        <w:rPr>
          <w:rFonts w:cs="Arial"/>
          <w:sz w:val="22"/>
          <w:lang w:val="es-CO"/>
        </w:rPr>
      </w:pPr>
      <w:r w:rsidRPr="007012D2">
        <w:rPr>
          <w:rFonts w:cs="Arial"/>
          <w:sz w:val="22"/>
          <w:lang w:val="es-CO"/>
        </w:rPr>
        <w:t>Con el apoyo del Ministerio de Transporte se elabora el CONPES 3899, denominado "Actualización del documento CONPES 3882 apoyo del Gobierno Nacional a la política de movilidad de la región capital Bogotá-Cundinamarca y declaratoria de importancia estratégica del proyecto Sistema Integrado deTransporte Masivo – Soacha Fases II Y III".  CONPES publicado en septiembre de 2017.</w:t>
      </w:r>
    </w:p>
    <w:p w:rsidR="007012D2" w:rsidRDefault="007012D2" w:rsidP="00442CAC">
      <w:pPr>
        <w:pStyle w:val="Prrafodelista"/>
        <w:numPr>
          <w:ilvl w:val="0"/>
          <w:numId w:val="47"/>
        </w:numPr>
        <w:rPr>
          <w:rFonts w:cs="Arial"/>
          <w:sz w:val="22"/>
          <w:lang w:val="es-CO"/>
        </w:rPr>
      </w:pPr>
      <w:r w:rsidRPr="007012D2">
        <w:rPr>
          <w:rFonts w:cs="Arial"/>
          <w:sz w:val="22"/>
          <w:lang w:val="es-CO"/>
        </w:rPr>
        <w:lastRenderedPageBreak/>
        <w:t>El 10 de noviembre de 2017 se firmó el convenio de cofinanciación entre la Nación (Ministerio de Hacienda y Ministerio de Transporte), el Departamento de Cundinamarca y el Municipio de Soacha para la financiación de la extensión de Transmilenio al municipio de Soacha en sus Fases II y III, comprometiendo recursos por un valor total de $902.938 millones.</w:t>
      </w:r>
    </w:p>
    <w:p w:rsidR="00B66228" w:rsidRDefault="00B66228" w:rsidP="00B66228">
      <w:pPr>
        <w:rPr>
          <w:rFonts w:cs="Arial"/>
          <w:sz w:val="22"/>
          <w:lang w:val="es-CO"/>
        </w:rPr>
      </w:pPr>
    </w:p>
    <w:p w:rsidR="007012D2" w:rsidRDefault="00B66228" w:rsidP="000E47B0">
      <w:pPr>
        <w:pStyle w:val="Ttulo2"/>
        <w:numPr>
          <w:ilvl w:val="1"/>
          <w:numId w:val="87"/>
        </w:numPr>
        <w:rPr>
          <w:lang w:val="es-CO"/>
        </w:rPr>
      </w:pPr>
      <w:bookmarkStart w:id="52" w:name="_Toc505003490"/>
      <w:r>
        <w:rPr>
          <w:lang w:val="es-CO"/>
        </w:rPr>
        <w:t>Política Pública en Transporte</w:t>
      </w:r>
      <w:bookmarkEnd w:id="52"/>
    </w:p>
    <w:p w:rsidR="00B66228" w:rsidRDefault="00B66228" w:rsidP="007012D2">
      <w:pPr>
        <w:rPr>
          <w:rFonts w:cs="Arial"/>
          <w:sz w:val="22"/>
          <w:lang w:val="es-CO"/>
        </w:rPr>
      </w:pPr>
    </w:p>
    <w:p w:rsidR="007012D2" w:rsidRPr="007012D2" w:rsidRDefault="00B66228" w:rsidP="007012D2">
      <w:pPr>
        <w:rPr>
          <w:rFonts w:cs="Arial"/>
          <w:sz w:val="22"/>
          <w:lang w:val="es-CO"/>
        </w:rPr>
      </w:pPr>
      <w:r>
        <w:rPr>
          <w:rFonts w:cs="Arial"/>
          <w:sz w:val="22"/>
          <w:lang w:val="es-CO"/>
        </w:rPr>
        <w:t>C</w:t>
      </w:r>
      <w:r w:rsidR="007012D2" w:rsidRPr="007012D2">
        <w:rPr>
          <w:rFonts w:cs="Arial"/>
          <w:sz w:val="22"/>
          <w:lang w:val="es-CO"/>
        </w:rPr>
        <w:t>on el apoyo brindado a los Sistemas Estratégicos y Masivos de Transporte en diferentes partes del país, se hace realidad el cambio de paradigma en el transporte masivo colombiano, al aplicar el principio de sostenibilidad, el cual permite garantizar hacia futuro la movilización de millones de compatriotas aportando en la mejora de los índices de competitividad de Colombia. El Plan Nacional de Desarrollo 2014 – 2018 (Ley 1753 de 2015) permitió cambiar el modelo de los sistemas de transporte masivo, al introducir el concepto de la sostenibilidad que permite a los mandatarios locales buscar nuevas fuentes de financiación como cobros por congestión, fondos de estabilización, subsidio a la demanda y contribución por zonas de estacionamiento.  En cumplimiento de esta Ley, el Ministerio hoy en día apoya los sistemas de transporte masivo de Bogotá, Pereira, Cali, Barranquilla, Bucaramanga, Medellín y Cartagena; y los Sistemas Estratégicos de Transporte de Pasto, Popayán, Valledupar, Sincelejo, Montería, Armenia, Santa Marta y Neiva.</w:t>
      </w:r>
    </w:p>
    <w:p w:rsidR="007012D2" w:rsidRPr="007012D2" w:rsidRDefault="007012D2" w:rsidP="007012D2">
      <w:pPr>
        <w:rPr>
          <w:rFonts w:cs="Arial"/>
          <w:sz w:val="22"/>
          <w:lang w:val="es-CO"/>
        </w:rPr>
      </w:pPr>
    </w:p>
    <w:p w:rsidR="007012D2" w:rsidRPr="007012D2" w:rsidRDefault="00FD3FAB" w:rsidP="007012D2">
      <w:pPr>
        <w:rPr>
          <w:rFonts w:cs="Arial"/>
          <w:sz w:val="22"/>
          <w:lang w:val="es-CO"/>
        </w:rPr>
      </w:pPr>
      <w:r>
        <w:rPr>
          <w:rFonts w:cs="Arial"/>
          <w:sz w:val="22"/>
          <w:lang w:val="es-CO"/>
        </w:rPr>
        <w:t>S</w:t>
      </w:r>
      <w:r w:rsidR="007012D2" w:rsidRPr="007012D2">
        <w:rPr>
          <w:rFonts w:cs="Arial"/>
          <w:sz w:val="22"/>
          <w:lang w:val="es-CO"/>
        </w:rPr>
        <w:t>e destacan las gestiones realizadas en materia de política pública de transporte en lo relativo a la expedición y trámite de diferentes normas que configuran el marco jurídico del transporte y tránsito en Colombia.</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 xml:space="preserve">Es así como la expedición del Decreto 431 de 2017 </w:t>
      </w:r>
      <w:r w:rsidR="00FD3FAB">
        <w:rPr>
          <w:rFonts w:cs="Arial"/>
          <w:sz w:val="22"/>
          <w:lang w:val="es-CO"/>
        </w:rPr>
        <w:t xml:space="preserve">en lo que </w:t>
      </w:r>
      <w:r w:rsidRPr="007012D2">
        <w:rPr>
          <w:rFonts w:cs="Arial"/>
          <w:sz w:val="22"/>
          <w:lang w:val="es-CO"/>
        </w:rPr>
        <w:t xml:space="preserve">se materializó como el logro de un acuerdo histórico entre los líderes, gremios, y representantes de todos los sectores de la modalidad del servicio público de transporte terrestre automotor especial, quienes comprometidos con el avance que requiere la modalidad y el compromiso del Ministerio de Transporte para sacar adelante esta transición hacia un nuevo modelo de prestación del servicio, consolidaron disposiciones que permitieron responder con efectividad a los retos </w:t>
      </w:r>
      <w:r w:rsidRPr="007012D2">
        <w:rPr>
          <w:rFonts w:cs="Arial"/>
          <w:sz w:val="22"/>
          <w:lang w:val="es-CO"/>
        </w:rPr>
        <w:lastRenderedPageBreak/>
        <w:t xml:space="preserve">más representativos de este tipo de transporte. En este sentido el Decreto 431 de 2017 procura evitar la concentración de capacidad transportadora en empresas que no se dedican a prestar el servicio, conseguir procesos de contratación formal de los servicios como lo que la modalidad está llamada a ofrecer, generar contratación sostenible financieramente para empresas y propietarios, eliminar cobros por intermediaciones en la contratación del servicio sin que dicha intermediación genere valor agregado y  permitir la salida de los vehículos que no tiene opciones reales de trabajo dentro de la modalidad y lograr su saneamiento.  De esta manera se logra la expedición de una norma que identificó y buscó responder de fondo a las necesidades de usuarios y prestadores para una mejora sustancial de este importante servicio.  </w:t>
      </w:r>
    </w:p>
    <w:p w:rsidR="007012D2" w:rsidRDefault="007012D2" w:rsidP="007012D2">
      <w:pPr>
        <w:rPr>
          <w:rFonts w:cs="Arial"/>
          <w:sz w:val="22"/>
          <w:lang w:val="es-CO"/>
        </w:rPr>
      </w:pPr>
    </w:p>
    <w:p w:rsidR="00FD3FAB" w:rsidRDefault="00B66228" w:rsidP="000E47B0">
      <w:pPr>
        <w:pStyle w:val="Ttulo2"/>
        <w:numPr>
          <w:ilvl w:val="1"/>
          <w:numId w:val="87"/>
        </w:numPr>
        <w:rPr>
          <w:lang w:val="es-CO"/>
        </w:rPr>
      </w:pPr>
      <w:bookmarkStart w:id="53" w:name="_Toc505003491"/>
      <w:r w:rsidRPr="00B66228">
        <w:rPr>
          <w:lang w:val="es-CO"/>
        </w:rPr>
        <w:t>Reposición integral vehicular</w:t>
      </w:r>
      <w:bookmarkEnd w:id="53"/>
    </w:p>
    <w:p w:rsidR="00B66228" w:rsidRPr="007012D2" w:rsidRDefault="00B66228" w:rsidP="007012D2">
      <w:pPr>
        <w:rPr>
          <w:rFonts w:cs="Arial"/>
          <w:sz w:val="22"/>
          <w:lang w:val="es-CO"/>
        </w:rPr>
      </w:pPr>
    </w:p>
    <w:p w:rsidR="007012D2" w:rsidRPr="007012D2" w:rsidRDefault="00B66228" w:rsidP="007012D2">
      <w:pPr>
        <w:rPr>
          <w:rFonts w:cs="Arial"/>
          <w:sz w:val="22"/>
          <w:lang w:val="es-CO"/>
        </w:rPr>
      </w:pPr>
      <w:r>
        <w:rPr>
          <w:rFonts w:cs="Arial"/>
          <w:sz w:val="22"/>
          <w:lang w:val="es-CO"/>
        </w:rPr>
        <w:t>V</w:t>
      </w:r>
      <w:r w:rsidR="007012D2" w:rsidRPr="007012D2">
        <w:rPr>
          <w:rFonts w:cs="Arial"/>
          <w:sz w:val="22"/>
          <w:lang w:val="es-CO"/>
        </w:rPr>
        <w:t>ale la pena destacar lo realizado con respecto al programa de saneamiento de los vehículos que cuentan con matrículas irregulares por la omisión presentada al momento de su registro, mediante la Resolución 332 del 15 de febrero de 2017, en la cual se definen las condiciones y el procedimiento de los trámites inherentes a la política pública de modernización del parque automotor de carga y</w:t>
      </w:r>
      <w:r w:rsidR="00FD3FAB">
        <w:rPr>
          <w:rFonts w:cs="Arial"/>
          <w:sz w:val="22"/>
          <w:lang w:val="es-CO"/>
        </w:rPr>
        <w:t xml:space="preserve"> se dictan otras disposiciones. </w:t>
      </w:r>
      <w:r w:rsidR="007012D2" w:rsidRPr="007012D2">
        <w:rPr>
          <w:rFonts w:cs="Arial"/>
          <w:sz w:val="22"/>
          <w:lang w:val="es-CO"/>
        </w:rPr>
        <w:t xml:space="preserve">De igual forma, se actualizaron a través de la Resolución 166 de 2016 los valores de indexación para el reconocimiento económico, al presente año se encuentran en la Resolución No. 332 de 2017. </w:t>
      </w:r>
    </w:p>
    <w:p w:rsidR="007012D2" w:rsidRPr="007012D2" w:rsidRDefault="007012D2" w:rsidP="007012D2">
      <w:pPr>
        <w:rPr>
          <w:rFonts w:cs="Arial"/>
          <w:sz w:val="22"/>
          <w:lang w:val="es-CO"/>
        </w:rPr>
      </w:pPr>
    </w:p>
    <w:p w:rsidR="005351D5" w:rsidRDefault="005351D5" w:rsidP="007012D2">
      <w:pPr>
        <w:rPr>
          <w:rFonts w:cs="Arial"/>
          <w:sz w:val="22"/>
          <w:lang w:val="es-CO"/>
        </w:rPr>
      </w:pPr>
      <w:r w:rsidRPr="005351D5">
        <w:rPr>
          <w:rFonts w:cs="Arial"/>
          <w:sz w:val="22"/>
          <w:u w:val="single"/>
          <w:lang w:val="es-CO"/>
        </w:rPr>
        <w:t>Vehículos Postulados</w:t>
      </w:r>
      <w:r>
        <w:rPr>
          <w:rFonts w:cs="Arial"/>
          <w:sz w:val="22"/>
          <w:lang w:val="es-CO"/>
        </w:rPr>
        <w:t>:</w:t>
      </w:r>
    </w:p>
    <w:p w:rsidR="007012D2" w:rsidRPr="007012D2" w:rsidRDefault="005351D5" w:rsidP="007012D2">
      <w:pPr>
        <w:rPr>
          <w:rFonts w:cs="Arial"/>
          <w:sz w:val="22"/>
          <w:lang w:val="es-CO"/>
        </w:rPr>
      </w:pPr>
      <w:r>
        <w:rPr>
          <w:rFonts w:cs="Arial"/>
          <w:sz w:val="22"/>
          <w:lang w:val="es-CO"/>
        </w:rPr>
        <w:t>D</w:t>
      </w:r>
      <w:r w:rsidR="007012D2" w:rsidRPr="007012D2">
        <w:rPr>
          <w:rFonts w:cs="Arial"/>
          <w:sz w:val="22"/>
          <w:lang w:val="es-CO"/>
        </w:rPr>
        <w:t>esde la entrada en vigencia de la Resolución 7036 de 2012 y la Resolución 332 de 2017, se han postulado un total de 19.329 vehículos de carga para los diferentes procesos establecidos por el Programa de Reposición Integral Vehicular -PRIV-. Es notorio el incremento de la intención de acceder al beneficio de reconocimiento económico para el año 2017, pues en lo que va corrido del año ya se han postulado para ese fin 3459 usuarios.</w:t>
      </w:r>
    </w:p>
    <w:p w:rsidR="007012D2" w:rsidRPr="007012D2" w:rsidRDefault="007012D2" w:rsidP="007012D2">
      <w:pPr>
        <w:rPr>
          <w:rFonts w:cs="Arial"/>
          <w:sz w:val="22"/>
          <w:lang w:val="es-CO"/>
        </w:rPr>
      </w:pPr>
    </w:p>
    <w:p w:rsidR="005351D5" w:rsidRDefault="005351D5" w:rsidP="007012D2">
      <w:pPr>
        <w:rPr>
          <w:rFonts w:cs="Arial"/>
          <w:sz w:val="22"/>
          <w:lang w:val="es-CO"/>
        </w:rPr>
      </w:pPr>
      <w:r w:rsidRPr="005351D5">
        <w:rPr>
          <w:rFonts w:cs="Arial"/>
          <w:sz w:val="22"/>
          <w:u w:val="single"/>
          <w:lang w:val="es-CO"/>
        </w:rPr>
        <w:t>Vehículos Desintegrados</w:t>
      </w:r>
      <w:r>
        <w:rPr>
          <w:rFonts w:cs="Arial"/>
          <w:sz w:val="22"/>
          <w:lang w:val="es-CO"/>
        </w:rPr>
        <w:t>:</w:t>
      </w:r>
    </w:p>
    <w:p w:rsidR="007012D2" w:rsidRPr="007012D2" w:rsidRDefault="005351D5" w:rsidP="007012D2">
      <w:pPr>
        <w:rPr>
          <w:rFonts w:cs="Arial"/>
          <w:sz w:val="22"/>
          <w:lang w:val="es-CO"/>
        </w:rPr>
      </w:pPr>
      <w:r>
        <w:rPr>
          <w:rFonts w:cs="Arial"/>
          <w:sz w:val="22"/>
          <w:lang w:val="es-CO"/>
        </w:rPr>
        <w:t>D</w:t>
      </w:r>
      <w:r w:rsidR="007012D2" w:rsidRPr="007012D2">
        <w:rPr>
          <w:rFonts w:cs="Arial"/>
          <w:sz w:val="22"/>
          <w:lang w:val="es-CO"/>
        </w:rPr>
        <w:t xml:space="preserve">esde la entrada en vigencia de la Resolución 7036 de 2012 y la Resolución 332 de 2017, se han desintegrado un total de 17655 vehículos de carga para los diferentes procesos </w:t>
      </w:r>
      <w:r w:rsidR="007012D2" w:rsidRPr="007012D2">
        <w:rPr>
          <w:rFonts w:cs="Arial"/>
          <w:sz w:val="22"/>
          <w:lang w:val="es-CO"/>
        </w:rPr>
        <w:lastRenderedPageBreak/>
        <w:t>establecidos por el Programa de Reposición Integral Vehicular -PRIV-. Respecto al año anterior se han desintegrado 259 vehículos menos, y respecto del año 2016 se han desintegrado 869 menos. Bogotá desintegró el 70% de los vehículos que participan del programa a nivel nacional, seguido de Barranquilla, Medellín y Cali.</w:t>
      </w:r>
    </w:p>
    <w:p w:rsidR="007012D2" w:rsidRPr="007012D2" w:rsidRDefault="007012D2" w:rsidP="007012D2">
      <w:pPr>
        <w:rPr>
          <w:rFonts w:cs="Arial"/>
          <w:sz w:val="22"/>
          <w:lang w:val="es-CO"/>
        </w:rPr>
      </w:pPr>
    </w:p>
    <w:p w:rsidR="005351D5" w:rsidRDefault="007012D2" w:rsidP="007012D2">
      <w:pPr>
        <w:rPr>
          <w:rFonts w:cs="Arial"/>
          <w:sz w:val="22"/>
          <w:lang w:val="es-CO"/>
        </w:rPr>
      </w:pPr>
      <w:r w:rsidRPr="005351D5">
        <w:rPr>
          <w:rFonts w:cs="Arial"/>
          <w:sz w:val="22"/>
          <w:u w:val="single"/>
          <w:lang w:val="es-CO"/>
        </w:rPr>
        <w:t>Reconocimiento Económico – Disponibilidad</w:t>
      </w:r>
      <w:r w:rsidR="005351D5" w:rsidRPr="005351D5">
        <w:rPr>
          <w:rFonts w:cs="Arial"/>
          <w:sz w:val="22"/>
          <w:u w:val="single"/>
          <w:lang w:val="es-CO"/>
        </w:rPr>
        <w:t xml:space="preserve"> Existente 2014-2015-2016-2017</w:t>
      </w:r>
      <w:r w:rsidR="005351D5">
        <w:rPr>
          <w:rFonts w:cs="Arial"/>
          <w:sz w:val="22"/>
          <w:lang w:val="es-CO"/>
        </w:rPr>
        <w:t>:</w:t>
      </w:r>
    </w:p>
    <w:p w:rsidR="007012D2" w:rsidRPr="007012D2" w:rsidRDefault="005351D5" w:rsidP="007012D2">
      <w:pPr>
        <w:rPr>
          <w:rFonts w:cs="Arial"/>
          <w:sz w:val="22"/>
          <w:lang w:val="es-CO"/>
        </w:rPr>
      </w:pPr>
      <w:r>
        <w:rPr>
          <w:rFonts w:cs="Arial"/>
          <w:sz w:val="22"/>
          <w:lang w:val="es-CO"/>
        </w:rPr>
        <w:t>D</w:t>
      </w:r>
      <w:r w:rsidR="007012D2" w:rsidRPr="007012D2">
        <w:rPr>
          <w:rFonts w:cs="Arial"/>
          <w:sz w:val="22"/>
          <w:lang w:val="es-CO"/>
        </w:rPr>
        <w:t xml:space="preserve">esde la entrada en vigencia de la Resolución 7036 de 2012 y la Resolución 332, se han generado un total de 9.040 asignaciones de presupuesto de reconocimiento económico a vehículos de carga por desintegración física total en los diferentes procesos establecidos por el Programa de Reposición Integral Vehicular -PRIV-, a nivel nacional. </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Es importante destacar las acciones adelantadas para la preparación del proceso licitatorio que seleccionará el nuevo concesionario del RUNT, lo que permitirá seguir contando con esta herramienta tecnológica que ha sido crucial para la organización de la información del Transporte en Colombia en términos estadísticos y de transparencia.</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En relación con lo anterior actualmente la coordinación RUNT adelanta tres procesos de vital importancia cuyo reto para el próximo año es llevar a buen término:</w:t>
      </w:r>
    </w:p>
    <w:p w:rsidR="007012D2" w:rsidRPr="007012D2" w:rsidRDefault="007012D2" w:rsidP="009270B5">
      <w:pPr>
        <w:rPr>
          <w:rFonts w:cs="Arial"/>
          <w:sz w:val="22"/>
          <w:lang w:val="es-CO"/>
        </w:rPr>
      </w:pPr>
    </w:p>
    <w:p w:rsidR="007012D2" w:rsidRPr="009270B5" w:rsidRDefault="007012D2" w:rsidP="00442CAC">
      <w:pPr>
        <w:pStyle w:val="Prrafodelista"/>
        <w:numPr>
          <w:ilvl w:val="0"/>
          <w:numId w:val="48"/>
        </w:numPr>
        <w:rPr>
          <w:rFonts w:cs="Arial"/>
          <w:sz w:val="22"/>
          <w:lang w:val="es-CO"/>
        </w:rPr>
      </w:pPr>
      <w:r w:rsidRPr="009270B5">
        <w:rPr>
          <w:rFonts w:cs="Arial"/>
          <w:sz w:val="22"/>
          <w:lang w:val="es-CO"/>
        </w:rPr>
        <w:t>Contratación mediante la modalidad de Concurso de Méritos de una consultoría que acompañe al Ministerio en el diseño de la licitación pública de la nueva Concesión RUNT en los aspectos financieros, técnicos y tecnológicos.</w:t>
      </w:r>
    </w:p>
    <w:p w:rsidR="007012D2" w:rsidRPr="009270B5" w:rsidRDefault="007012D2" w:rsidP="00442CAC">
      <w:pPr>
        <w:pStyle w:val="Prrafodelista"/>
        <w:numPr>
          <w:ilvl w:val="0"/>
          <w:numId w:val="48"/>
        </w:numPr>
        <w:rPr>
          <w:rFonts w:cs="Arial"/>
          <w:sz w:val="22"/>
          <w:lang w:val="es-CO"/>
        </w:rPr>
      </w:pPr>
      <w:r w:rsidRPr="009270B5">
        <w:rPr>
          <w:rFonts w:cs="Arial"/>
          <w:sz w:val="22"/>
          <w:lang w:val="es-CO"/>
        </w:rPr>
        <w:t xml:space="preserve">Acompañamiento jurídico especializado para el diseño de los pliegos y condiciones para la licitación pública de la nueva Concesión RUNT. </w:t>
      </w:r>
    </w:p>
    <w:p w:rsidR="007012D2" w:rsidRPr="009270B5" w:rsidRDefault="007012D2" w:rsidP="00442CAC">
      <w:pPr>
        <w:pStyle w:val="Prrafodelista"/>
        <w:numPr>
          <w:ilvl w:val="0"/>
          <w:numId w:val="48"/>
        </w:numPr>
        <w:rPr>
          <w:rFonts w:cs="Arial"/>
          <w:sz w:val="22"/>
          <w:lang w:val="es-CO"/>
        </w:rPr>
      </w:pPr>
      <w:r w:rsidRPr="009270B5">
        <w:rPr>
          <w:rFonts w:cs="Arial"/>
          <w:sz w:val="22"/>
          <w:lang w:val="es-CO"/>
        </w:rPr>
        <w:t>Contrato Interadministrativo para preparar al Ministerio de Transporte en el proceso de empalme y reversión de bienes con la actual Concesión. Según lo obliga el contrato No. 033 de 2007.</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Todos los procesos se tienen contratados para el cierre del año 2017 y su ejecución se realizará durante el primer semestre de 2018. Inicialmente se contemplan tres fases de estos proyectos de menara conjunta de la siguiente forma:</w:t>
      </w:r>
    </w:p>
    <w:p w:rsidR="007012D2" w:rsidRDefault="007012D2" w:rsidP="007012D2">
      <w:pPr>
        <w:rPr>
          <w:rFonts w:cs="Arial"/>
          <w:lang w:val="es-CO"/>
        </w:rPr>
      </w:pPr>
    </w:p>
    <w:p w:rsidR="007012D2" w:rsidRDefault="007012D2" w:rsidP="007012D2">
      <w:pPr>
        <w:jc w:val="center"/>
        <w:rPr>
          <w:rFonts w:cs="Arial"/>
          <w:lang w:val="es-CO"/>
        </w:rPr>
      </w:pPr>
      <w:r w:rsidRPr="00DE3EBF">
        <w:rPr>
          <w:rFonts w:cs="Calibri"/>
          <w:noProof/>
          <w:sz w:val="22"/>
          <w:lang w:val="es-CO" w:eastAsia="es-CO"/>
        </w:rPr>
        <w:lastRenderedPageBreak/>
        <w:drawing>
          <wp:inline distT="0" distB="0" distL="0" distR="0">
            <wp:extent cx="4514850" cy="2324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2324100"/>
                    </a:xfrm>
                    <a:prstGeom prst="rect">
                      <a:avLst/>
                    </a:prstGeom>
                    <a:noFill/>
                    <a:ln>
                      <a:noFill/>
                    </a:ln>
                  </pic:spPr>
                </pic:pic>
              </a:graphicData>
            </a:graphic>
          </wp:inline>
        </w:drawing>
      </w:r>
    </w:p>
    <w:p w:rsidR="007012D2" w:rsidRPr="007012D2" w:rsidRDefault="007012D2" w:rsidP="007012D2">
      <w:pPr>
        <w:rPr>
          <w:rFonts w:cs="Arial"/>
          <w:sz w:val="22"/>
          <w:lang w:val="es-CO"/>
        </w:rPr>
      </w:pPr>
    </w:p>
    <w:p w:rsidR="009270B5" w:rsidRDefault="009270B5" w:rsidP="000E47B0">
      <w:pPr>
        <w:pStyle w:val="Ttulo2"/>
        <w:numPr>
          <w:ilvl w:val="1"/>
          <w:numId w:val="87"/>
        </w:numPr>
        <w:rPr>
          <w:lang w:val="es-CO"/>
        </w:rPr>
      </w:pPr>
      <w:bookmarkStart w:id="54" w:name="_Toc505003492"/>
      <w:r>
        <w:rPr>
          <w:lang w:val="es-CO"/>
        </w:rPr>
        <w:t>Seguridad Vial</w:t>
      </w:r>
      <w:bookmarkEnd w:id="54"/>
    </w:p>
    <w:p w:rsidR="009270B5" w:rsidRDefault="009270B5" w:rsidP="007012D2">
      <w:pPr>
        <w:rPr>
          <w:rFonts w:cs="Arial"/>
          <w:sz w:val="22"/>
          <w:lang w:val="es-CO"/>
        </w:rPr>
      </w:pPr>
    </w:p>
    <w:p w:rsidR="007012D2" w:rsidRPr="007012D2" w:rsidRDefault="009270B5" w:rsidP="007012D2">
      <w:pPr>
        <w:rPr>
          <w:rFonts w:cs="Arial"/>
          <w:sz w:val="22"/>
          <w:lang w:val="es-CO"/>
        </w:rPr>
      </w:pPr>
      <w:r>
        <w:rPr>
          <w:rFonts w:cs="Arial"/>
          <w:sz w:val="22"/>
          <w:lang w:val="es-CO"/>
        </w:rPr>
        <w:t>E</w:t>
      </w:r>
      <w:r w:rsidR="007012D2" w:rsidRPr="007012D2">
        <w:rPr>
          <w:rFonts w:cs="Arial"/>
          <w:sz w:val="22"/>
          <w:lang w:val="es-CO"/>
        </w:rPr>
        <w:t>s crucial destacar lo realizado en materia de seguridad vial, prioridad sine qua non del Gobierno Nacional que ha permitido expedir un paquete importante de normativa de política pública que fortalece el marco regulatorio en la búsqueda prioritaria de salvar vidas en las vías de Colombia.  Es así como en esta vigencia, después de dos años de tránsito por el Congreso, se aprobó el proyecto de ley que regula el uso de fotocomparendos en Colombia.  Gracias a la gestión del Viceministerio de Transporte, la Ley 1843 de 2017 permite que las fotomultas continúen, pero con un aspecto distinto: prima el concepto técnico de seguridad vial sobre el concepto lucrativo que se manejaba en la regulación anterior.</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 xml:space="preserve">Con ese mismo objetivo de priorizar la seguridad vial, se expidieron las resoluciones 1208 del 5 de mayo de 2017, que establece las condiciones, características de seguridad y los rangos de precios al usuario para servicios prestados por los Centros de Enseñanza Automovilística, y la Resolución 1349 del 12 de mayo de 2017 para que todos aquellos  colombianos que deseen obtener por primera vez su licencia de conducción o recategorizar, deberán presentar un examen teórico y otro práctico en un Centro de Apoyo Logístico de Evaluación -CALE- - habilitado para tal fin.  Con estas medidas se busca garantizar la idoneidad de los nuevos conductores de vehículos, al mismo tiempo que adecúa al país estándares y compromisos internacionales establecidos en esta materia. El gran objetivo </w:t>
      </w:r>
      <w:r w:rsidRPr="007012D2">
        <w:rPr>
          <w:rFonts w:cs="Arial"/>
          <w:sz w:val="22"/>
          <w:lang w:val="es-CO"/>
        </w:rPr>
        <w:lastRenderedPageBreak/>
        <w:t>es generar un cambio sin antecedentes en la adquisición de toda nueva licencia de conducción, la cual pasa de ser un simple trámite a ser un logro.</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De igual manera, se expidieron diferentes resoluciones que reglamentaron la 3752 de 2015 “Por la cual se establecen medidas en materia de seguridad activa y pasiva en los vehículos automotores” y la 3753 Resolución de 2015 por la cual se expidió el Reglamento Técnico para vehículos de servicio público de pasajeros y se dictan otras disposiciones. Con esta normatividad, los vehículos de transporte público y privado deberán contar con las nuevas medidas de seguridad y accesibilidad exigidas por el Ministerio de Transporte, que establecen como obligatorio que los vehículos particulares, oficiales y públicos, así como remolques y semirremolques, cuenten con los sistemas de frenos ABS, airbags y apoyacabezas definidos de acuerdo con normas y reglamentos internacionales.</w:t>
      </w:r>
    </w:p>
    <w:p w:rsidR="007012D2" w:rsidRPr="007012D2" w:rsidRDefault="007012D2" w:rsidP="007012D2">
      <w:pPr>
        <w:rPr>
          <w:rFonts w:cs="Arial"/>
          <w:sz w:val="22"/>
          <w:lang w:val="es-CO"/>
        </w:rPr>
      </w:pPr>
    </w:p>
    <w:p w:rsidR="007012D2" w:rsidRPr="007012D2" w:rsidRDefault="009270B5" w:rsidP="007012D2">
      <w:pPr>
        <w:rPr>
          <w:rFonts w:cs="Arial"/>
          <w:sz w:val="22"/>
          <w:lang w:val="es-CO"/>
        </w:rPr>
      </w:pPr>
      <w:r>
        <w:rPr>
          <w:rFonts w:cs="Arial"/>
          <w:sz w:val="22"/>
          <w:lang w:val="es-CO"/>
        </w:rPr>
        <w:t>E</w:t>
      </w:r>
      <w:r w:rsidR="007012D2" w:rsidRPr="007012D2">
        <w:rPr>
          <w:rFonts w:cs="Arial"/>
          <w:sz w:val="22"/>
          <w:lang w:val="es-CO"/>
        </w:rPr>
        <w:t xml:space="preserve">n el 2017 </w:t>
      </w:r>
      <w:r>
        <w:rPr>
          <w:rFonts w:cs="Arial"/>
          <w:sz w:val="22"/>
          <w:lang w:val="es-CO"/>
        </w:rPr>
        <w:t>se</w:t>
      </w:r>
      <w:r w:rsidR="007012D2" w:rsidRPr="007012D2">
        <w:rPr>
          <w:rFonts w:cs="Arial"/>
          <w:sz w:val="22"/>
          <w:lang w:val="es-CO"/>
        </w:rPr>
        <w:t xml:space="preserve"> ha continuado con el  proceso de consolidar el reglamento técnico de cascos protectores para usuarios de motocicletas en Colombia, para lo cual se realizaron reuniones con la industria de los cascos,  representantes de los clubes de motociclistas, además de mesas técnicas con el Ministerio de Comercio y la Superintendencia de Industria y Comercio,  posteriormente se publicó el proyecto de reglamentación técnica en la página  web  del Ministerio de Transporte del 25 de julio al 31 de agosto de 2017. En la actualidad se encuentra pendiente del concepto previo favorable del Ministerio de Comercio, luego que se desfije de la publicación internacional por un espacio de 90 días, podrá expedirse el correspondiente acto administrativo. </w:t>
      </w:r>
    </w:p>
    <w:p w:rsidR="007012D2" w:rsidRPr="007012D2" w:rsidRDefault="007012D2" w:rsidP="007012D2">
      <w:pPr>
        <w:rPr>
          <w:rFonts w:cs="Arial"/>
          <w:sz w:val="22"/>
          <w:lang w:val="es-CO"/>
        </w:rPr>
      </w:pPr>
    </w:p>
    <w:p w:rsidR="007012D2" w:rsidRPr="007012D2" w:rsidRDefault="007012D2" w:rsidP="007012D2">
      <w:pPr>
        <w:rPr>
          <w:rFonts w:cs="Arial"/>
          <w:sz w:val="22"/>
          <w:lang w:val="es-CO"/>
        </w:rPr>
      </w:pPr>
      <w:r w:rsidRPr="007012D2">
        <w:rPr>
          <w:rFonts w:cs="Arial"/>
          <w:sz w:val="22"/>
          <w:lang w:val="es-CO"/>
        </w:rPr>
        <w:t>Con la expedición de la nueva reglamentación se podrá controlar eficazmente la comercialización de los cascos en el país, por lo que todos los cascos que se vendan en Colombia una vez entre en vigencia la nueva reglamentación cumplirá con los requisitos técnicos exigidos, como resultado se espera la reducción significativa en el número de muertos por lesión craneoencefálica originados en accidentes de tránsito</w:t>
      </w:r>
    </w:p>
    <w:p w:rsidR="007012D2" w:rsidRPr="007012D2" w:rsidRDefault="007012D2" w:rsidP="007012D2">
      <w:pPr>
        <w:rPr>
          <w:rFonts w:cs="Arial"/>
          <w:sz w:val="22"/>
          <w:lang w:val="es-CO"/>
        </w:rPr>
      </w:pPr>
    </w:p>
    <w:p w:rsidR="00DD3FAD" w:rsidRPr="007E3988" w:rsidRDefault="001F70D0" w:rsidP="003D44B7">
      <w:pPr>
        <w:pStyle w:val="Ttulo1"/>
      </w:pPr>
      <w:r w:rsidRPr="007E3988">
        <w:br w:type="page"/>
      </w:r>
      <w:bookmarkStart w:id="55" w:name="_Toc473412372"/>
      <w:bookmarkStart w:id="56" w:name="_Toc473412522"/>
      <w:bookmarkStart w:id="57" w:name="_Toc505003493"/>
      <w:bookmarkStart w:id="58" w:name="_Toc364323868"/>
      <w:bookmarkStart w:id="59" w:name="_Toc394651049"/>
      <w:r w:rsidR="00DD3FAD" w:rsidRPr="007E3988">
        <w:lastRenderedPageBreak/>
        <w:t>MEDIO AMBIENTE Y DESARROLLO SOSTENIBLE</w:t>
      </w:r>
      <w:bookmarkEnd w:id="55"/>
      <w:bookmarkEnd w:id="56"/>
      <w:bookmarkEnd w:id="57"/>
    </w:p>
    <w:p w:rsidR="00DD3FAD" w:rsidRPr="007E3988" w:rsidRDefault="00DD3FAD" w:rsidP="00DD3FAD">
      <w:pPr>
        <w:pStyle w:val="Prrafodelista"/>
        <w:ind w:left="0"/>
        <w:rPr>
          <w:rFonts w:cs="Arial"/>
          <w:sz w:val="22"/>
          <w:u w:val="single"/>
          <w:lang w:eastAsia="es-CO"/>
        </w:rPr>
      </w:pPr>
    </w:p>
    <w:p w:rsidR="0037101F" w:rsidRDefault="0037101F" w:rsidP="000E47B0">
      <w:pPr>
        <w:pStyle w:val="Ttulo2"/>
        <w:numPr>
          <w:ilvl w:val="1"/>
          <w:numId w:val="87"/>
        </w:numPr>
      </w:pPr>
      <w:bookmarkStart w:id="60" w:name="_Toc505003494"/>
      <w:r w:rsidRPr="0037101F">
        <w:t>Cambio Climático</w:t>
      </w:r>
      <w:bookmarkEnd w:id="60"/>
    </w:p>
    <w:p w:rsidR="0037101F" w:rsidRPr="0037101F" w:rsidRDefault="0037101F" w:rsidP="0037101F">
      <w:pPr>
        <w:rPr>
          <w:rFonts w:cs="Arial"/>
          <w:sz w:val="22"/>
          <w:lang w:eastAsia="es-CO"/>
        </w:rPr>
      </w:pPr>
    </w:p>
    <w:p w:rsidR="0037101F" w:rsidRPr="0037101F" w:rsidRDefault="0037101F" w:rsidP="0037101F">
      <w:pPr>
        <w:rPr>
          <w:rFonts w:cs="Arial"/>
          <w:sz w:val="22"/>
          <w:u w:val="single"/>
          <w:lang w:eastAsia="es-CO"/>
        </w:rPr>
      </w:pPr>
      <w:r w:rsidRPr="0037101F">
        <w:rPr>
          <w:rFonts w:cs="Arial"/>
          <w:sz w:val="22"/>
          <w:u w:val="single"/>
          <w:lang w:eastAsia="es-CO"/>
        </w:rPr>
        <w:t>Implementación del Plan Vías CC: Vías Compatibles con el Clima</w:t>
      </w:r>
      <w:r>
        <w:rPr>
          <w:rFonts w:cs="Arial"/>
          <w:sz w:val="22"/>
          <w:u w:val="single"/>
          <w:lang w:eastAsia="es-CO"/>
        </w:rPr>
        <w:t>:</w:t>
      </w:r>
      <w:r w:rsidRPr="0037101F">
        <w:rPr>
          <w:rFonts w:cs="Arial"/>
          <w:sz w:val="22"/>
          <w:u w:val="single"/>
          <w:lang w:eastAsia="es-CO"/>
        </w:rPr>
        <w:t xml:space="preserve"> </w:t>
      </w:r>
    </w:p>
    <w:p w:rsidR="0037101F" w:rsidRPr="0037101F" w:rsidRDefault="0037101F" w:rsidP="00442CAC">
      <w:pPr>
        <w:pStyle w:val="Prrafodelista"/>
        <w:numPr>
          <w:ilvl w:val="0"/>
          <w:numId w:val="49"/>
        </w:numPr>
        <w:rPr>
          <w:rFonts w:cs="Arial"/>
          <w:sz w:val="22"/>
          <w:lang w:eastAsia="es-CO"/>
        </w:rPr>
      </w:pPr>
      <w:r w:rsidRPr="0037101F">
        <w:rPr>
          <w:rFonts w:cs="Arial"/>
          <w:sz w:val="22"/>
          <w:lang w:eastAsia="es-CO"/>
        </w:rPr>
        <w:t>A partir del estudio de riesgo climatológico de la red Vial Primaria, mediante el cual se identificaron los tramos viales más vulnerables y con mayor riesgo frente a eventos climáticos futuro, se han seleccionado dos corredores viales con riesgo alto, para realizar los primeros estudios pilotos de vulnerabilidad y riesgo: Popayán-Patico-Río Mazamorras y Cano-Mojarras, en el Departamento del Cauca, con una longitud de 158 km, estudio que se encuentra en ejecución. Este ejercicio permitirá identificar las medidas de adaptación más eficientes y se elaborará una Guía Nacional para la adelantar este tipo de estudios de vulnerabilidad y riesgo.</w:t>
      </w:r>
    </w:p>
    <w:p w:rsidR="0037101F" w:rsidRPr="0037101F" w:rsidRDefault="0037101F" w:rsidP="00442CAC">
      <w:pPr>
        <w:pStyle w:val="Prrafodelista"/>
        <w:numPr>
          <w:ilvl w:val="0"/>
          <w:numId w:val="49"/>
        </w:numPr>
        <w:rPr>
          <w:rFonts w:cs="Arial"/>
          <w:sz w:val="22"/>
          <w:lang w:eastAsia="es-CO"/>
        </w:rPr>
      </w:pPr>
      <w:r w:rsidRPr="0037101F">
        <w:rPr>
          <w:rFonts w:cs="Arial"/>
          <w:sz w:val="22"/>
          <w:lang w:eastAsia="es-CO"/>
        </w:rPr>
        <w:t>Este ejercicio permitirá obtener una metodología para el análisis de vulnerabilidad por movimientos en masa, en un proceso de trasmisión de conocimiento y fortalecimiento institucional y con miras en un futuro próximo a la estructuración de una guía metodológica para la evaluación y cálculo del riesgo con aplicación de la metodología en vías con características similares.</w:t>
      </w:r>
    </w:p>
    <w:p w:rsidR="0037101F" w:rsidRPr="0037101F" w:rsidRDefault="0037101F" w:rsidP="00442CAC">
      <w:pPr>
        <w:pStyle w:val="Prrafodelista"/>
        <w:numPr>
          <w:ilvl w:val="0"/>
          <w:numId w:val="49"/>
        </w:numPr>
        <w:rPr>
          <w:rFonts w:cs="Arial"/>
          <w:sz w:val="22"/>
          <w:lang w:eastAsia="es-CO"/>
        </w:rPr>
      </w:pPr>
      <w:r w:rsidRPr="0037101F">
        <w:rPr>
          <w:rFonts w:cs="Arial"/>
          <w:sz w:val="22"/>
          <w:lang w:eastAsia="es-CO"/>
        </w:rPr>
        <w:t>Dicho estudio se desarrolla a través del Convenio No. 9677-PPAL001-452-2016, entre la Unidad Nacional para la Gestión del Riesgo de Desastres -UNGRD-, INVIAS y el Servicio Geológico Colombiano. Se espera culminar en abril de 2018.</w:t>
      </w:r>
    </w:p>
    <w:p w:rsidR="0037101F" w:rsidRPr="0037101F" w:rsidRDefault="0037101F" w:rsidP="00442CAC">
      <w:pPr>
        <w:pStyle w:val="Prrafodelista"/>
        <w:numPr>
          <w:ilvl w:val="0"/>
          <w:numId w:val="49"/>
        </w:numPr>
        <w:rPr>
          <w:rFonts w:cs="Arial"/>
          <w:sz w:val="22"/>
          <w:lang w:eastAsia="es-CO"/>
        </w:rPr>
      </w:pPr>
      <w:r w:rsidRPr="0037101F">
        <w:rPr>
          <w:rFonts w:cs="Arial"/>
          <w:sz w:val="22"/>
          <w:lang w:eastAsia="es-CO"/>
        </w:rPr>
        <w:t xml:space="preserve">Se socializó con todos los concesionarios de los terminales marítimos, el Plan de cambio climático para puertos marítimos de Colombia. Este Plan es un insumo fundamental para los tomadores de decisión del sector portuario marítimo del país para incorporar consideraciones de adaptación y mitigación en la planificación, desarrollo y operación de los puertos. </w:t>
      </w:r>
    </w:p>
    <w:p w:rsidR="0037101F" w:rsidRPr="0037101F" w:rsidRDefault="0037101F" w:rsidP="00442CAC">
      <w:pPr>
        <w:pStyle w:val="Prrafodelista"/>
        <w:numPr>
          <w:ilvl w:val="0"/>
          <w:numId w:val="49"/>
        </w:numPr>
        <w:rPr>
          <w:rFonts w:cs="Arial"/>
          <w:sz w:val="22"/>
          <w:lang w:eastAsia="es-CO"/>
        </w:rPr>
      </w:pPr>
      <w:r w:rsidRPr="0037101F">
        <w:rPr>
          <w:rFonts w:cs="Arial"/>
          <w:sz w:val="22"/>
          <w:lang w:eastAsia="es-CO"/>
        </w:rPr>
        <w:t>Contiene un perfil de vulnerabilidad de las 9 Zonas Portuarias, identificando los posibles daños, producto de las amenazas climáticas futuras y plantea recomendaciones para implementar medidas de adaptación y mitigación, para disminuir las emisiones de carbono. Será una herramienta útil para que nuestros puertos se anticipen a los efectos del cambio climático, en aras de mantener la competitividad y posicionamiento de los puertos a nivel mundial.</w:t>
      </w:r>
    </w:p>
    <w:p w:rsidR="0037101F" w:rsidRDefault="0037101F" w:rsidP="000E47B0">
      <w:pPr>
        <w:pStyle w:val="Ttulo2"/>
        <w:numPr>
          <w:ilvl w:val="1"/>
          <w:numId w:val="87"/>
        </w:numPr>
      </w:pPr>
      <w:bookmarkStart w:id="61" w:name="_Toc505003495"/>
      <w:r w:rsidRPr="0037101F">
        <w:lastRenderedPageBreak/>
        <w:t>Gestión del Riesgo de Desastres- GRD</w:t>
      </w:r>
      <w:bookmarkEnd w:id="61"/>
      <w:r w:rsidRPr="0037101F">
        <w:t xml:space="preserve"> </w:t>
      </w:r>
    </w:p>
    <w:p w:rsidR="0037101F" w:rsidRPr="00732106" w:rsidRDefault="0037101F" w:rsidP="0037101F">
      <w:pPr>
        <w:rPr>
          <w:rFonts w:cs="Arial"/>
          <w:sz w:val="14"/>
          <w:lang w:eastAsia="es-CO"/>
        </w:rPr>
      </w:pPr>
    </w:p>
    <w:p w:rsidR="0037101F" w:rsidRPr="0037101F" w:rsidRDefault="0037101F" w:rsidP="0037101F">
      <w:pPr>
        <w:rPr>
          <w:rFonts w:cs="Arial"/>
          <w:sz w:val="22"/>
          <w:u w:val="single"/>
          <w:lang w:eastAsia="es-CO"/>
        </w:rPr>
      </w:pPr>
      <w:r w:rsidRPr="0037101F">
        <w:rPr>
          <w:rFonts w:cs="Arial"/>
          <w:sz w:val="22"/>
          <w:u w:val="single"/>
          <w:lang w:eastAsia="es-CO"/>
        </w:rPr>
        <w:t xml:space="preserve">Plan Indicativo de Fortalecimiento Institucional para la Gestión </w:t>
      </w:r>
      <w:r>
        <w:rPr>
          <w:rFonts w:cs="Arial"/>
          <w:sz w:val="22"/>
          <w:u w:val="single"/>
          <w:lang w:eastAsia="es-CO"/>
        </w:rPr>
        <w:t>de Riesgos de Desastres – PIFIN:</w:t>
      </w:r>
    </w:p>
    <w:p w:rsidR="0037101F" w:rsidRPr="0037101F" w:rsidRDefault="0037101F" w:rsidP="0037101F">
      <w:pPr>
        <w:rPr>
          <w:rFonts w:cs="Arial"/>
          <w:sz w:val="22"/>
          <w:lang w:eastAsia="es-CO"/>
        </w:rPr>
      </w:pPr>
      <w:r w:rsidRPr="0037101F">
        <w:rPr>
          <w:rFonts w:cs="Arial"/>
          <w:sz w:val="22"/>
          <w:lang w:eastAsia="es-CO"/>
        </w:rPr>
        <w:t>Con apoyo de Geópolis - CAF, se concluyó y socializó con INVIAS y ANI, la Hoja de Ruta para la implementación del PIFIN para el subsector vial, como punto de partida para implementar la gestión del riesgo en la agenda sectorial mediante acciones de fortalecimiento en cuatro vías fundamentales: i) La política y normatividad sectorial, ii) La organización institucional, iii) El conocimiento y la planificación sectorial, y iv) el fortalecimiento de los actores políticos y técnicos.</w:t>
      </w:r>
    </w:p>
    <w:p w:rsidR="0037101F" w:rsidRPr="0037101F" w:rsidRDefault="0037101F" w:rsidP="0037101F">
      <w:pPr>
        <w:rPr>
          <w:rFonts w:cs="Arial"/>
          <w:sz w:val="22"/>
          <w:lang w:eastAsia="es-CO"/>
        </w:rPr>
      </w:pPr>
      <w:r w:rsidRPr="0037101F">
        <w:rPr>
          <w:rFonts w:cs="Arial"/>
          <w:sz w:val="22"/>
          <w:lang w:eastAsia="es-CO"/>
        </w:rPr>
        <w:t>Plan Indicativo de Fortalecimiento Institucional para la gestión de riesgos de desastres para el departamento del Valle del Cauca – PIFIN. Se culminó la formulación del PIFIN del Valle del C</w:t>
      </w:r>
      <w:r w:rsidR="00BA6BEF">
        <w:rPr>
          <w:rFonts w:cs="Arial"/>
          <w:sz w:val="22"/>
          <w:lang w:eastAsia="es-CO"/>
        </w:rPr>
        <w:t>auca, con el apoyo de la red Geó</w:t>
      </w:r>
      <w:r w:rsidRPr="0037101F">
        <w:rPr>
          <w:rFonts w:cs="Arial"/>
          <w:sz w:val="22"/>
          <w:lang w:eastAsia="es-CO"/>
        </w:rPr>
        <w:t>polis – CAF, en el marco del fortalecimiento institucional del nivel Territorial.</w:t>
      </w:r>
    </w:p>
    <w:p w:rsidR="0037101F" w:rsidRPr="00732106" w:rsidRDefault="0037101F" w:rsidP="0037101F">
      <w:pPr>
        <w:rPr>
          <w:rFonts w:cs="Arial"/>
          <w:sz w:val="12"/>
          <w:lang w:eastAsia="es-CO"/>
        </w:rPr>
      </w:pPr>
    </w:p>
    <w:p w:rsidR="0037101F" w:rsidRPr="0037101F" w:rsidRDefault="0037101F" w:rsidP="00442CAC">
      <w:pPr>
        <w:pStyle w:val="Prrafodelista"/>
        <w:numPr>
          <w:ilvl w:val="0"/>
          <w:numId w:val="50"/>
        </w:numPr>
        <w:ind w:left="360"/>
        <w:rPr>
          <w:rFonts w:cs="Arial"/>
          <w:sz w:val="22"/>
          <w:lang w:eastAsia="es-CO"/>
        </w:rPr>
      </w:pPr>
      <w:r w:rsidRPr="0037101F">
        <w:rPr>
          <w:rFonts w:cs="Arial"/>
          <w:sz w:val="22"/>
          <w:lang w:eastAsia="es-CO"/>
        </w:rPr>
        <w:t>El PIFIN del Valle recoge las propuestas más relevantes en materia de gestión de riesgos de desastres (GRD) y adaptación al cambio climático (ACC) que resultaron del proceso participativo con los distintos actores que participan en el desarrollo de la infraestructura vial y define un conjunto de acciones tendientes al fortalecimiento de los procesos institucionales: i) Marcos normativos aplicables al sector vial referidos a la temática de GRD ACC. ii) Estructuras y capacidades institucionales departamentales en GRD ACC para el sector vial. iii) Conocimiento de los riesgos sectoriales asociados a fenómenos socionaturales y antrópicos. iv) Planificación sectorial con incorporación de criterios de GRD ACC. v) Cultura institucional y social de la GRD ACC. vi) Acciones mínimas para la reducción de riesgos en componentes viales críticos del departamento. vii) Capacidades de respuesta y recuperación en la infraestructura vial en caso de desastres.</w:t>
      </w:r>
    </w:p>
    <w:p w:rsidR="0037101F" w:rsidRPr="0037101F" w:rsidRDefault="0037101F" w:rsidP="00442CAC">
      <w:pPr>
        <w:pStyle w:val="Prrafodelista"/>
        <w:numPr>
          <w:ilvl w:val="0"/>
          <w:numId w:val="50"/>
        </w:numPr>
        <w:ind w:left="360"/>
        <w:rPr>
          <w:rFonts w:cs="Arial"/>
          <w:sz w:val="22"/>
          <w:lang w:eastAsia="es-CO"/>
        </w:rPr>
      </w:pPr>
      <w:r w:rsidRPr="0037101F">
        <w:rPr>
          <w:rFonts w:cs="Arial"/>
          <w:sz w:val="22"/>
          <w:lang w:eastAsia="es-CO"/>
        </w:rPr>
        <w:t xml:space="preserve">Fortalecimiento normativo para la Gestión del Riesgo de Desastres: se lideró la expedición del Decreto 602 de mayo de 2017, por medio del cual se reglamentan los artículos 84 de la Ley 1523 de 2012 y 12 de la Ley 1682 de 2013, se dictan otras disposiciones de la Gestión del Riesgo de Desastres en la Infraestructura de Transporte y se adiciona el Título 9 a la Parte 4 del Libro 2 del Decreto 1079 de 2015. Con este Decreto se incorporan condiciones para la Gestión del Riesgo de Desastres en la </w:t>
      </w:r>
      <w:r w:rsidRPr="0037101F">
        <w:rPr>
          <w:rFonts w:cs="Arial"/>
          <w:sz w:val="22"/>
          <w:lang w:eastAsia="es-CO"/>
        </w:rPr>
        <w:lastRenderedPageBreak/>
        <w:t>Infraestructura de Transporte, se establecen los procedimientos y mecanismos para dar respuesta a las emergencias ge</w:t>
      </w:r>
      <w:r w:rsidR="00BA6BEF">
        <w:rPr>
          <w:rFonts w:cs="Arial"/>
          <w:sz w:val="22"/>
          <w:lang w:eastAsia="es-CO"/>
        </w:rPr>
        <w:t>neradas por eventos hidroclimatoló</w:t>
      </w:r>
      <w:r w:rsidRPr="0037101F">
        <w:rPr>
          <w:rFonts w:cs="Arial"/>
          <w:sz w:val="22"/>
          <w:lang w:eastAsia="es-CO"/>
        </w:rPr>
        <w:t>gicos, climáticos, telúricos, antropogénicos, terroristas, entre otros, y las actuaciones a seguir en caso de declaratoria de desastre o calamidad pública, adicionando el Título 9 a la Parte 4 del Libro 2 del Decreto 1079 de 2015.</w:t>
      </w:r>
    </w:p>
    <w:p w:rsidR="0037101F" w:rsidRPr="0037101F" w:rsidRDefault="0037101F" w:rsidP="00442CAC">
      <w:pPr>
        <w:pStyle w:val="Prrafodelista"/>
        <w:numPr>
          <w:ilvl w:val="0"/>
          <w:numId w:val="50"/>
        </w:numPr>
        <w:ind w:left="360"/>
        <w:rPr>
          <w:rFonts w:cs="Arial"/>
          <w:sz w:val="22"/>
          <w:lang w:eastAsia="es-CO"/>
        </w:rPr>
      </w:pPr>
      <w:r w:rsidRPr="0037101F">
        <w:rPr>
          <w:rFonts w:cs="Arial"/>
          <w:sz w:val="22"/>
          <w:lang w:eastAsia="es-CO"/>
        </w:rPr>
        <w:t>Comité Sectorial para la Gestión del riesgo de Desastres: Mediante Resolución 4998 de noviembre de 2016, se crea el Comité Sectorial para la Gestión del Riesgo de Desastres, como instancia encargada de la planeación, seguimiento, coordinación y articulación de los procesos de conocimiento y reducción del riesgo, manejo de desastres y cambio climático.</w:t>
      </w:r>
    </w:p>
    <w:p w:rsidR="0037101F" w:rsidRPr="0037101F" w:rsidRDefault="0037101F" w:rsidP="00442CAC">
      <w:pPr>
        <w:pStyle w:val="Prrafodelista"/>
        <w:numPr>
          <w:ilvl w:val="0"/>
          <w:numId w:val="50"/>
        </w:numPr>
        <w:ind w:left="360"/>
        <w:rPr>
          <w:rFonts w:cs="Arial"/>
          <w:sz w:val="22"/>
          <w:lang w:eastAsia="es-CO"/>
        </w:rPr>
      </w:pPr>
      <w:r w:rsidRPr="0037101F">
        <w:rPr>
          <w:rFonts w:cs="Arial"/>
          <w:sz w:val="22"/>
          <w:lang w:eastAsia="es-CO"/>
        </w:rPr>
        <w:t>Fortalecimiento de alertas tempranas: Se logró incluir en los Boletines diarios de pronóstico de Amenaza por deslizamientos del IDEAM, un reporte de los tramos de la Red vial nacional con probabilidad de ocurrencia de deslizamientos por efectos de las precipitaciones.</w:t>
      </w:r>
    </w:p>
    <w:p w:rsidR="0037101F" w:rsidRPr="0037101F" w:rsidRDefault="0037101F" w:rsidP="00442CAC">
      <w:pPr>
        <w:pStyle w:val="Prrafodelista"/>
        <w:numPr>
          <w:ilvl w:val="0"/>
          <w:numId w:val="50"/>
        </w:numPr>
        <w:ind w:left="360"/>
        <w:rPr>
          <w:rFonts w:cs="Arial"/>
          <w:sz w:val="22"/>
          <w:lang w:eastAsia="es-CO"/>
        </w:rPr>
      </w:pPr>
      <w:r w:rsidRPr="0037101F">
        <w:rPr>
          <w:rFonts w:cs="Arial"/>
          <w:sz w:val="22"/>
          <w:lang w:eastAsia="es-CO"/>
        </w:rPr>
        <w:t xml:space="preserve">Georreferenciación de los sitios críticos de la Red Vial Nacional: Se logró la georreferenciación de los sitios críticos recurrentes en la Red vial Nacional y la ubicación de la maquinaria disponible. </w:t>
      </w:r>
    </w:p>
    <w:p w:rsidR="0037101F" w:rsidRPr="0037101F" w:rsidRDefault="0037101F" w:rsidP="00442CAC">
      <w:pPr>
        <w:pStyle w:val="Prrafodelista"/>
        <w:numPr>
          <w:ilvl w:val="0"/>
          <w:numId w:val="50"/>
        </w:numPr>
        <w:ind w:left="360"/>
        <w:rPr>
          <w:rFonts w:cs="Arial"/>
          <w:sz w:val="22"/>
          <w:lang w:eastAsia="es-CO"/>
        </w:rPr>
      </w:pPr>
      <w:r w:rsidRPr="0037101F">
        <w:rPr>
          <w:rFonts w:cs="Arial"/>
          <w:sz w:val="22"/>
          <w:lang w:eastAsia="es-CO"/>
        </w:rPr>
        <w:t>Reporte de emergencias en tiempo real: se reportan en tiempo real las emergencias viales de la Red vial No concesionada, a través de los administradores viales, en el Sistema de información Hermes de INVIAS: http://hermes.invias.gov.co/dash_emergencias</w:t>
      </w:r>
    </w:p>
    <w:p w:rsidR="0037101F" w:rsidRPr="0037101F" w:rsidRDefault="0037101F" w:rsidP="0037101F">
      <w:pPr>
        <w:rPr>
          <w:rFonts w:cs="Arial"/>
          <w:b/>
          <w:sz w:val="22"/>
          <w:lang w:eastAsia="es-CO"/>
        </w:rPr>
      </w:pPr>
      <w:r w:rsidRPr="0037101F">
        <w:rPr>
          <w:rFonts w:cs="Arial"/>
          <w:b/>
          <w:sz w:val="22"/>
          <w:lang w:eastAsia="es-CO"/>
        </w:rPr>
        <w:t>Próximos pasos</w:t>
      </w:r>
    </w:p>
    <w:p w:rsidR="0037101F" w:rsidRPr="0037101F" w:rsidRDefault="0037101F" w:rsidP="00442CAC">
      <w:pPr>
        <w:pStyle w:val="Prrafodelista"/>
        <w:numPr>
          <w:ilvl w:val="0"/>
          <w:numId w:val="51"/>
        </w:numPr>
        <w:rPr>
          <w:rFonts w:cs="Arial"/>
          <w:sz w:val="22"/>
          <w:lang w:eastAsia="es-CO"/>
        </w:rPr>
      </w:pPr>
      <w:r w:rsidRPr="0037101F">
        <w:rPr>
          <w:rFonts w:cs="Arial"/>
          <w:sz w:val="22"/>
          <w:lang w:eastAsia="es-CO"/>
        </w:rPr>
        <w:t>Continuar implementando el Plan Vías CC: Vías Compatibles con el Clima</w:t>
      </w:r>
    </w:p>
    <w:p w:rsidR="0037101F" w:rsidRPr="0037101F" w:rsidRDefault="0037101F" w:rsidP="00442CAC">
      <w:pPr>
        <w:pStyle w:val="Prrafodelista"/>
        <w:numPr>
          <w:ilvl w:val="0"/>
          <w:numId w:val="51"/>
        </w:numPr>
        <w:rPr>
          <w:rFonts w:cs="Arial"/>
          <w:sz w:val="22"/>
          <w:lang w:eastAsia="es-CO"/>
        </w:rPr>
      </w:pPr>
      <w:r w:rsidRPr="0037101F">
        <w:rPr>
          <w:rFonts w:cs="Arial"/>
          <w:sz w:val="22"/>
          <w:lang w:eastAsia="es-CO"/>
        </w:rPr>
        <w:t>Culminar el estudio de los corredores piloto</w:t>
      </w:r>
    </w:p>
    <w:p w:rsidR="0037101F" w:rsidRPr="0037101F" w:rsidRDefault="0037101F" w:rsidP="00442CAC">
      <w:pPr>
        <w:pStyle w:val="Prrafodelista"/>
        <w:numPr>
          <w:ilvl w:val="0"/>
          <w:numId w:val="51"/>
        </w:numPr>
        <w:rPr>
          <w:rFonts w:cs="Arial"/>
          <w:sz w:val="22"/>
          <w:lang w:eastAsia="es-CO"/>
        </w:rPr>
      </w:pPr>
      <w:r w:rsidRPr="0037101F">
        <w:rPr>
          <w:rFonts w:cs="Arial"/>
          <w:sz w:val="22"/>
          <w:lang w:eastAsia="es-CO"/>
        </w:rPr>
        <w:t>Elaboración de una guía metodológica para estudios de riesgo por movimientos en masa en la infraestructura vial del país, construida a partir del análisis de vulnerabilidad de los 2 corredores pilotos.</w:t>
      </w:r>
    </w:p>
    <w:p w:rsidR="0037101F" w:rsidRPr="0037101F" w:rsidRDefault="0037101F" w:rsidP="00442CAC">
      <w:pPr>
        <w:pStyle w:val="Prrafodelista"/>
        <w:numPr>
          <w:ilvl w:val="0"/>
          <w:numId w:val="51"/>
        </w:numPr>
        <w:rPr>
          <w:rFonts w:cs="Arial"/>
          <w:sz w:val="22"/>
          <w:lang w:eastAsia="es-CO"/>
        </w:rPr>
      </w:pPr>
      <w:r w:rsidRPr="0037101F">
        <w:rPr>
          <w:rFonts w:cs="Arial"/>
          <w:sz w:val="22"/>
          <w:lang w:eastAsia="es-CO"/>
        </w:rPr>
        <w:t>Elaboración de otro estudio de vulnerabilidad y riesgo para otro tipo de corredor vial con distintas características geográficas y para otro tipo de amenaza, como por ejemplo inundación.</w:t>
      </w:r>
    </w:p>
    <w:p w:rsidR="0037101F" w:rsidRPr="00732106" w:rsidRDefault="0037101F" w:rsidP="00576E08">
      <w:pPr>
        <w:pStyle w:val="Prrafodelista"/>
        <w:numPr>
          <w:ilvl w:val="0"/>
          <w:numId w:val="51"/>
        </w:numPr>
        <w:spacing w:after="200" w:line="276" w:lineRule="auto"/>
        <w:jc w:val="left"/>
        <w:rPr>
          <w:rFonts w:cs="Arial"/>
          <w:sz w:val="22"/>
          <w:lang w:eastAsia="es-CO"/>
        </w:rPr>
      </w:pPr>
      <w:r w:rsidRPr="00732106">
        <w:rPr>
          <w:rFonts w:cs="Arial"/>
          <w:sz w:val="22"/>
          <w:lang w:eastAsia="es-CO"/>
        </w:rPr>
        <w:t xml:space="preserve">Seguimiento a la implementación de plan de cambio </w:t>
      </w:r>
      <w:r w:rsidR="00732106" w:rsidRPr="00732106">
        <w:rPr>
          <w:rFonts w:cs="Arial"/>
          <w:sz w:val="22"/>
          <w:lang w:eastAsia="es-CO"/>
        </w:rPr>
        <w:t>climático para puertos marítimo.</w:t>
      </w:r>
      <w:r w:rsidRPr="00732106">
        <w:rPr>
          <w:rFonts w:cs="Arial"/>
          <w:sz w:val="22"/>
          <w:lang w:eastAsia="es-CO"/>
        </w:rPr>
        <w:br w:type="page"/>
      </w:r>
    </w:p>
    <w:p w:rsidR="00482721" w:rsidRPr="00052C84" w:rsidRDefault="00482721" w:rsidP="003D44B7">
      <w:pPr>
        <w:pStyle w:val="Ttulo1"/>
      </w:pPr>
      <w:bookmarkStart w:id="62" w:name="_Toc441485523"/>
      <w:bookmarkStart w:id="63" w:name="_Toc473412373"/>
      <w:bookmarkStart w:id="64" w:name="_Toc473412523"/>
      <w:bookmarkStart w:id="65" w:name="_Toc505003496"/>
      <w:r w:rsidRPr="00052C84">
        <w:lastRenderedPageBreak/>
        <w:t>REGULACIÓN ECONÓMICA</w:t>
      </w:r>
      <w:bookmarkEnd w:id="62"/>
      <w:bookmarkEnd w:id="63"/>
      <w:bookmarkEnd w:id="64"/>
      <w:bookmarkEnd w:id="65"/>
    </w:p>
    <w:p w:rsidR="00482721" w:rsidRPr="007E3988" w:rsidRDefault="00482721" w:rsidP="00482721">
      <w:pPr>
        <w:rPr>
          <w:rFonts w:cs="Arial"/>
          <w:sz w:val="22"/>
          <w:lang w:eastAsia="es-CO"/>
        </w:rPr>
      </w:pPr>
      <w:bookmarkStart w:id="66" w:name="_Toc441142706"/>
      <w:bookmarkStart w:id="67" w:name="_Toc441142748"/>
      <w:bookmarkStart w:id="68" w:name="_Toc441142905"/>
      <w:bookmarkStart w:id="69" w:name="_Toc441484530"/>
    </w:p>
    <w:p w:rsidR="00633C44" w:rsidRPr="00B25BD8" w:rsidRDefault="00633C44" w:rsidP="00633C44">
      <w:pPr>
        <w:contextualSpacing/>
        <w:rPr>
          <w:rFonts w:cs="Arial"/>
          <w:sz w:val="22"/>
        </w:rPr>
      </w:pPr>
      <w:bookmarkStart w:id="70" w:name="_Toc441649896"/>
      <w:bookmarkStart w:id="71" w:name="_Toc441655572"/>
      <w:bookmarkStart w:id="72" w:name="_Toc441656056"/>
      <w:bookmarkStart w:id="73" w:name="_Toc441656858"/>
      <w:bookmarkStart w:id="74" w:name="_Toc441659647"/>
      <w:bookmarkStart w:id="75" w:name="_Toc441659795"/>
      <w:bookmarkStart w:id="76" w:name="_Toc441659952"/>
      <w:bookmarkStart w:id="77" w:name="_Toc441660005"/>
      <w:bookmarkStart w:id="78" w:name="_Toc441660827"/>
      <w:bookmarkStart w:id="79" w:name="_Toc441661136"/>
      <w:bookmarkStart w:id="80" w:name="_Toc441669934"/>
      <w:bookmarkStart w:id="81" w:name="_Toc441669976"/>
      <w:bookmarkStart w:id="82" w:name="_Toc441670219"/>
      <w:bookmarkStart w:id="83" w:name="_Toc441673917"/>
      <w:bookmarkStart w:id="84" w:name="_Toc441676701"/>
      <w:bookmarkStart w:id="85" w:name="_Toc441760698"/>
      <w:bookmarkStart w:id="86" w:name="_Toc441760741"/>
      <w:bookmarkStart w:id="87" w:name="_Toc441760873"/>
      <w:bookmarkStart w:id="88" w:name="_Toc441761408"/>
      <w:bookmarkStart w:id="89" w:name="_Toc441761720"/>
      <w:bookmarkStart w:id="90" w:name="_Toc441761861"/>
      <w:bookmarkStart w:id="91" w:name="_Toc441761919"/>
      <w:bookmarkStart w:id="92" w:name="_Toc441762109"/>
      <w:bookmarkStart w:id="93" w:name="_Toc441763216"/>
      <w:bookmarkStart w:id="94" w:name="_Toc441823881"/>
      <w:bookmarkStart w:id="95" w:name="_Toc441830138"/>
      <w:bookmarkStart w:id="96" w:name="_Toc441841662"/>
      <w:bookmarkStart w:id="97" w:name="_Toc441841943"/>
      <w:bookmarkStart w:id="98" w:name="_Toc441843791"/>
      <w:bookmarkStart w:id="99" w:name="_Toc441844456"/>
      <w:bookmarkStart w:id="100" w:name="_Toc443471522"/>
      <w:bookmarkStart w:id="101" w:name="_Toc443471932"/>
      <w:bookmarkStart w:id="102" w:name="_Toc44520144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B25BD8">
        <w:rPr>
          <w:rFonts w:cs="Arial"/>
          <w:sz w:val="22"/>
        </w:rPr>
        <w:t>El Ministerio de Transporte en cumplimiento de su misión institucional a través de la Oficina de Regulación Económica – ORE y teniendo en cuenta el Plan de Acción Institucional - PAI para el año 2017, presenta dentro de sus proyectos algunos lineamientos de política y regulaciones económicas para los modos de transporte, transporte intermodal y servicios conexos; en el presente informe se muestran los avances y desarrollos llevados a cabo y las conclusiones alcanzadas.</w:t>
      </w:r>
    </w:p>
    <w:p w:rsidR="00633C44" w:rsidRPr="00633C44" w:rsidRDefault="00633C44" w:rsidP="00633C44">
      <w:pPr>
        <w:contextualSpacing/>
        <w:rPr>
          <w:rFonts w:cs="Arial"/>
          <w:sz w:val="22"/>
          <w:u w:val="single"/>
        </w:rPr>
      </w:pPr>
      <w:bookmarkStart w:id="103" w:name="_Toc504487000"/>
      <w:r w:rsidRPr="00633C44">
        <w:rPr>
          <w:rFonts w:cs="Arial"/>
          <w:sz w:val="22"/>
          <w:u w:val="single"/>
        </w:rPr>
        <w:t>PROYECTO 1</w:t>
      </w:r>
      <w:bookmarkEnd w:id="103"/>
    </w:p>
    <w:p w:rsidR="00633C44" w:rsidRPr="00B25BD8" w:rsidRDefault="00633C44" w:rsidP="00633C44">
      <w:pPr>
        <w:contextualSpacing/>
        <w:rPr>
          <w:rFonts w:cs="Arial"/>
          <w:sz w:val="22"/>
        </w:rPr>
      </w:pPr>
      <w:bookmarkStart w:id="104" w:name="_Toc504487001"/>
      <w:r w:rsidRPr="00633C44">
        <w:rPr>
          <w:rFonts w:cs="Arial"/>
          <w:b/>
          <w:sz w:val="22"/>
        </w:rPr>
        <w:t>Objetivos del proyecto</w:t>
      </w:r>
      <w:bookmarkEnd w:id="104"/>
      <w:r>
        <w:rPr>
          <w:rFonts w:cs="Arial"/>
          <w:b/>
          <w:sz w:val="22"/>
        </w:rPr>
        <w:t xml:space="preserve">: </w:t>
      </w:r>
      <w:r w:rsidRPr="00B25BD8">
        <w:rPr>
          <w:rFonts w:cs="Arial"/>
          <w:sz w:val="22"/>
        </w:rPr>
        <w:t xml:space="preserve">Establecer las fórmulas y los criterios para la fijación de las tarifas del servicio público de transporte masivo de pasajeros por metro ligero, tren ligero, tranvía y tren-tram. </w:t>
      </w:r>
    </w:p>
    <w:p w:rsidR="00633C44" w:rsidRPr="00633C44" w:rsidRDefault="00633C44" w:rsidP="00633C44">
      <w:pPr>
        <w:contextualSpacing/>
        <w:rPr>
          <w:rFonts w:cs="Arial"/>
          <w:b/>
          <w:sz w:val="22"/>
        </w:rPr>
      </w:pPr>
      <w:bookmarkStart w:id="105" w:name="_Toc504487002"/>
      <w:r w:rsidRPr="00633C44">
        <w:rPr>
          <w:rFonts w:cs="Arial"/>
          <w:b/>
          <w:sz w:val="22"/>
        </w:rPr>
        <w:t>Antecedentes del proyecto</w:t>
      </w:r>
      <w:bookmarkEnd w:id="105"/>
      <w:r>
        <w:rPr>
          <w:rFonts w:cs="Arial"/>
          <w:b/>
          <w:sz w:val="22"/>
        </w:rPr>
        <w:t xml:space="preserve">: </w:t>
      </w:r>
      <w:r w:rsidRPr="00B25BD8">
        <w:rPr>
          <w:rFonts w:cs="Arial"/>
          <w:sz w:val="22"/>
        </w:rPr>
        <w:t xml:space="preserve">En virtud de lo dispuesto en el artículo 1 de la Ley 86 de 1989, la política sobre los sistemas de transporte público masivo de pasajeros debe orientarse a asegurar la prestación de un servicio eficiente que permita el crecimiento ordenado de las ciudades y el uso racional del suelo urbano. </w:t>
      </w:r>
    </w:p>
    <w:p w:rsidR="00633C44" w:rsidRPr="00B25BD8" w:rsidRDefault="00633C44" w:rsidP="00633C44">
      <w:pPr>
        <w:contextualSpacing/>
        <w:rPr>
          <w:rFonts w:cs="Arial"/>
          <w:sz w:val="22"/>
        </w:rPr>
      </w:pPr>
      <w:r w:rsidRPr="00B25BD8">
        <w:rPr>
          <w:rFonts w:cs="Arial"/>
          <w:sz w:val="22"/>
        </w:rPr>
        <w:t>Asimismo, de conformidad con lo establecido en el artículo 32 del Decreto 1008 de 2015, le corresponde a la Comisión de Regulación de Infraestructura y Transporte, establecer las fórmulas y criterios para la fijación de las tarifas del servicio público de transporte masivo de pasajeros por metro ligero, tren ligero, tranvía y tren-tramo</w:t>
      </w:r>
    </w:p>
    <w:p w:rsidR="00633C44" w:rsidRPr="00B25BD8" w:rsidRDefault="00633C44" w:rsidP="00633C44">
      <w:pPr>
        <w:contextualSpacing/>
        <w:rPr>
          <w:rFonts w:cs="Arial"/>
          <w:sz w:val="22"/>
        </w:rPr>
      </w:pPr>
      <w:r w:rsidRPr="00B25BD8">
        <w:rPr>
          <w:rFonts w:cs="Arial"/>
          <w:sz w:val="22"/>
        </w:rPr>
        <w:t>Producto</w:t>
      </w:r>
    </w:p>
    <w:p w:rsidR="00633C44" w:rsidRPr="00B25BD8" w:rsidRDefault="00633C44" w:rsidP="00633C44">
      <w:pPr>
        <w:contextualSpacing/>
        <w:rPr>
          <w:rFonts w:cs="Arial"/>
          <w:sz w:val="22"/>
        </w:rPr>
      </w:pPr>
      <w:r w:rsidRPr="00B25BD8">
        <w:rPr>
          <w:rFonts w:cs="Arial"/>
          <w:sz w:val="22"/>
        </w:rPr>
        <w:t xml:space="preserve">La ORE realizo el estudio para establecer las formulas y criterios para la fijación de las tarifas del servicio público de transporte público masivo de pasajeros por metro ligero, tren ligero, tranvía y tren-tram, que garantice la adecuada regulación tarifaria de este tipo de servicio en Colombia. Los lineamientos del estudio fueron socializados a delegados de cada uno de los Departamentos, municipios y Distritos, asimismo a las diferentes dependencias del Ministerio de Transporte. Del mismo modo mediante memorando No. 20171410159643 de fecha 28-09-2017, se remitió para revisión y aval de la Oficina Jurídica del Ministerio de Transporte, el proyecto de resolución “Por la cual se establecen las fórmulas y los criterios para la fijación de las tarifas del servicio público de transporte masivo de pasajeros por metro ligero, tren ligero, tranvía y tren-tram. Por ultimo mediante el memorando No. </w:t>
      </w:r>
      <w:r w:rsidRPr="00B25BD8">
        <w:rPr>
          <w:rFonts w:cs="Arial"/>
          <w:sz w:val="22"/>
        </w:rPr>
        <w:lastRenderedPageBreak/>
        <w:t>20171410200413 de fecha 27-11-2017 se remitieron los archivos del estudio en medio magnético y se realizaron ajustes al documento.</w:t>
      </w:r>
    </w:p>
    <w:p w:rsidR="00633C44" w:rsidRPr="00633C44" w:rsidRDefault="00633C44" w:rsidP="00633C44">
      <w:pPr>
        <w:contextualSpacing/>
        <w:rPr>
          <w:rFonts w:cs="Arial"/>
          <w:sz w:val="22"/>
          <w:u w:val="single"/>
        </w:rPr>
      </w:pPr>
      <w:bookmarkStart w:id="106" w:name="_Toc504487009"/>
      <w:r w:rsidRPr="00633C44">
        <w:rPr>
          <w:rFonts w:cs="Arial"/>
          <w:sz w:val="22"/>
          <w:u w:val="single"/>
        </w:rPr>
        <w:t>PROYECTO 2</w:t>
      </w:r>
      <w:bookmarkEnd w:id="106"/>
    </w:p>
    <w:p w:rsidR="00633C44" w:rsidRPr="00633C44" w:rsidRDefault="00633C44" w:rsidP="00633C44">
      <w:pPr>
        <w:contextualSpacing/>
        <w:rPr>
          <w:rFonts w:cs="Arial"/>
          <w:b/>
          <w:sz w:val="22"/>
        </w:rPr>
      </w:pPr>
      <w:bookmarkStart w:id="107" w:name="_Toc504487010"/>
      <w:r w:rsidRPr="00633C44">
        <w:rPr>
          <w:rFonts w:cs="Arial"/>
          <w:b/>
          <w:sz w:val="22"/>
        </w:rPr>
        <w:t>Objetivos del Proyecto</w:t>
      </w:r>
      <w:bookmarkEnd w:id="107"/>
      <w:r>
        <w:rPr>
          <w:rFonts w:cs="Arial"/>
          <w:b/>
          <w:sz w:val="22"/>
        </w:rPr>
        <w:t xml:space="preserve">: </w:t>
      </w:r>
      <w:r w:rsidRPr="00B25BD8">
        <w:rPr>
          <w:rFonts w:cs="Arial"/>
          <w:sz w:val="22"/>
        </w:rPr>
        <w:t>Estudio para la modificación de la resolución 4350 de 1998, la cual establece "La metodología para la elaboración de los estudios de costos que sirven de base para la fijación de las tarifas del transporte público municipal, distrital y/o metropolitano de pasajeros y/o mixto".</w:t>
      </w:r>
    </w:p>
    <w:p w:rsidR="00633C44" w:rsidRPr="00B25BD8" w:rsidRDefault="00633C44" w:rsidP="00633C44">
      <w:pPr>
        <w:contextualSpacing/>
        <w:rPr>
          <w:rFonts w:cs="Arial"/>
          <w:sz w:val="22"/>
        </w:rPr>
      </w:pPr>
      <w:bookmarkStart w:id="108" w:name="_Toc504487011"/>
      <w:r w:rsidRPr="00633C44">
        <w:rPr>
          <w:rFonts w:cs="Arial"/>
          <w:b/>
          <w:sz w:val="22"/>
        </w:rPr>
        <w:t>Antecedentes del proyecto</w:t>
      </w:r>
      <w:bookmarkEnd w:id="108"/>
      <w:r>
        <w:rPr>
          <w:rFonts w:cs="Arial"/>
          <w:b/>
          <w:sz w:val="22"/>
        </w:rPr>
        <w:t xml:space="preserve">: </w:t>
      </w:r>
      <w:r w:rsidRPr="00B25BD8">
        <w:rPr>
          <w:rFonts w:cs="Arial"/>
          <w:sz w:val="22"/>
        </w:rPr>
        <w:t>La ORE realizo el análisis para la modificación de la metodología que sirve de base para la elaboración de los estudios de costos para la fijación de las tarifas del servicio público de transporte municipal, distrital y/o metropolitano de pasajeros y/o mixto, establecida en la resolución 4350 de 1998, para lo cual se realizaron diferentes mesas de trabajo en las que participaron, el Viceministerio de Transporte, el gremio transportador, delegados de usuarios y otros entes públicos y privados, en las mismas se estudiaron y evaluaron los criterios expuestos en la resolución 4350 de 1998 y se plantearon nuevos lineamientos y propuestas para la modificación de esta metodología.</w:t>
      </w:r>
    </w:p>
    <w:p w:rsidR="00633C44" w:rsidRPr="00B25BD8" w:rsidRDefault="00633C44" w:rsidP="00633C44">
      <w:pPr>
        <w:contextualSpacing/>
        <w:rPr>
          <w:rFonts w:cs="Arial"/>
          <w:sz w:val="22"/>
        </w:rPr>
      </w:pPr>
      <w:r w:rsidRPr="00B25BD8">
        <w:rPr>
          <w:rFonts w:cs="Arial"/>
          <w:sz w:val="22"/>
        </w:rPr>
        <w:t>Producto</w:t>
      </w:r>
    </w:p>
    <w:p w:rsidR="00633C44" w:rsidRPr="00B25BD8" w:rsidRDefault="00633C44" w:rsidP="00633C44">
      <w:pPr>
        <w:contextualSpacing/>
        <w:rPr>
          <w:rFonts w:cs="Arial"/>
          <w:sz w:val="22"/>
        </w:rPr>
      </w:pPr>
      <w:r w:rsidRPr="00B25BD8">
        <w:rPr>
          <w:rFonts w:cs="Arial"/>
          <w:sz w:val="22"/>
        </w:rPr>
        <w:t>Mediante Correo Electrónico de fecha 15-08-2017, fue remitido a los asesores delegados por parte del Viceministro del Viceministro de Transporte, para estudiar el tema “Por la cual  se establece la metodología para la elaboración de los estudios de costos que sirven de base para la fijación de las tarifas del transporte público municipal, distrital y/o metropolitano de pasajeros y/o mixto y se derogan las Resoluciones 4350 de 1998 y 392 de 1999”.</w:t>
      </w:r>
    </w:p>
    <w:p w:rsidR="00633C44" w:rsidRPr="00633C44" w:rsidRDefault="00633C44" w:rsidP="00633C44">
      <w:pPr>
        <w:contextualSpacing/>
        <w:rPr>
          <w:rFonts w:cs="Arial"/>
          <w:sz w:val="22"/>
          <w:u w:val="single"/>
        </w:rPr>
      </w:pPr>
      <w:bookmarkStart w:id="109" w:name="_Toc504487020"/>
      <w:r w:rsidRPr="00633C44">
        <w:rPr>
          <w:rFonts w:cs="Arial"/>
          <w:sz w:val="22"/>
          <w:u w:val="single"/>
        </w:rPr>
        <w:t>PROYECTO 3</w:t>
      </w:r>
      <w:bookmarkEnd w:id="109"/>
    </w:p>
    <w:p w:rsidR="00633C44" w:rsidRPr="00B25BD8" w:rsidRDefault="00633C44" w:rsidP="00633C44">
      <w:pPr>
        <w:contextualSpacing/>
        <w:rPr>
          <w:rFonts w:cs="Arial"/>
          <w:sz w:val="22"/>
        </w:rPr>
      </w:pPr>
      <w:bookmarkStart w:id="110" w:name="_Toc504487021"/>
      <w:r w:rsidRPr="00633C44">
        <w:rPr>
          <w:rFonts w:cs="Arial"/>
          <w:b/>
          <w:sz w:val="22"/>
        </w:rPr>
        <w:t>Objetivos del Proyecto</w:t>
      </w:r>
      <w:bookmarkEnd w:id="110"/>
      <w:r>
        <w:rPr>
          <w:rFonts w:cs="Arial"/>
          <w:b/>
          <w:sz w:val="22"/>
        </w:rPr>
        <w:t xml:space="preserve">: </w:t>
      </w:r>
      <w:r w:rsidRPr="00B25BD8">
        <w:rPr>
          <w:rFonts w:cs="Arial"/>
          <w:sz w:val="22"/>
        </w:rPr>
        <w:t>Emitir los conceptos vinculantes previos para el establecimiento de los peajes en los proyectos de infraestructura vial a cargo de la ANI, INVÍAS, Departamentos y Municipios.</w:t>
      </w:r>
    </w:p>
    <w:p w:rsidR="00633C44" w:rsidRPr="00B25BD8" w:rsidRDefault="00633C44" w:rsidP="00633C44">
      <w:pPr>
        <w:contextualSpacing/>
        <w:rPr>
          <w:rFonts w:cs="Arial"/>
          <w:sz w:val="22"/>
        </w:rPr>
      </w:pPr>
      <w:bookmarkStart w:id="111" w:name="_Toc504487022"/>
      <w:r w:rsidRPr="00633C44">
        <w:rPr>
          <w:rFonts w:cs="Arial"/>
          <w:b/>
          <w:sz w:val="22"/>
        </w:rPr>
        <w:t>Antecedentes del Proyecto</w:t>
      </w:r>
      <w:bookmarkEnd w:id="111"/>
      <w:r>
        <w:rPr>
          <w:rFonts w:cs="Arial"/>
          <w:b/>
          <w:sz w:val="22"/>
        </w:rPr>
        <w:t xml:space="preserve">: </w:t>
      </w:r>
      <w:r w:rsidRPr="00B25BD8">
        <w:rPr>
          <w:rFonts w:cs="Arial"/>
          <w:sz w:val="22"/>
        </w:rPr>
        <w:t xml:space="preserve">De acuerdo a lo establecido en el artículo 6 numerales 6.14 y 6.15 del Decreto 087 de 2011, una de las funciones del Ministro de Transporte, es la de emitir el concepto vinculante previo al establecimiento de los peajes, con el fin de permitir una adecuada operación de la infraestructura de transporte y establecer las tarifas, tasas y derechos a cobrar, por el uso de la infraestructura según las tipologías vehiculares y nivel de servicio. </w:t>
      </w:r>
    </w:p>
    <w:p w:rsidR="00633C44" w:rsidRPr="00B25BD8" w:rsidRDefault="00633C44" w:rsidP="00633C44">
      <w:pPr>
        <w:contextualSpacing/>
        <w:rPr>
          <w:rFonts w:cs="Arial"/>
          <w:sz w:val="22"/>
        </w:rPr>
      </w:pPr>
      <w:r w:rsidRPr="00633C44">
        <w:rPr>
          <w:rFonts w:cs="Arial"/>
          <w:b/>
          <w:sz w:val="22"/>
        </w:rPr>
        <w:lastRenderedPageBreak/>
        <w:t xml:space="preserve">Objetivos del Proyecto </w:t>
      </w:r>
      <w:r>
        <w:rPr>
          <w:rFonts w:cs="Arial"/>
          <w:b/>
          <w:sz w:val="22"/>
        </w:rPr>
        <w:t>–</w:t>
      </w:r>
      <w:r w:rsidRPr="00633C44">
        <w:rPr>
          <w:rFonts w:cs="Arial"/>
          <w:b/>
          <w:sz w:val="22"/>
        </w:rPr>
        <w:t xml:space="preserve"> SIRTPC</w:t>
      </w:r>
      <w:r>
        <w:rPr>
          <w:rFonts w:cs="Arial"/>
          <w:b/>
          <w:sz w:val="22"/>
        </w:rPr>
        <w:t xml:space="preserve">: </w:t>
      </w:r>
      <w:r w:rsidRPr="00B25BD8">
        <w:rPr>
          <w:rFonts w:cs="Arial"/>
          <w:sz w:val="22"/>
        </w:rPr>
        <w:t>Siguiendo los estudios y normatividad existente para la determinación de las tarifas de transporte de pasajeros por carretera en el sistema de información SIRTCP, se involucran siete módulos asociados directamente con los actores que participan en el sector, de tal manera que la participación de cada uno de ellos sea congruente con la información de la demanda y oferta de transporte en esta modalidad, los cuales se relacionan directamente con los que intervienen en el proceso.</w:t>
      </w:r>
    </w:p>
    <w:p w:rsidR="00633C44" w:rsidRPr="00B25BD8" w:rsidRDefault="00633C44" w:rsidP="00633C44">
      <w:pPr>
        <w:contextualSpacing/>
        <w:rPr>
          <w:rFonts w:cs="Arial"/>
          <w:sz w:val="22"/>
        </w:rPr>
      </w:pPr>
      <w:r w:rsidRPr="00B25BD8">
        <w:rPr>
          <w:rFonts w:cs="Arial"/>
          <w:sz w:val="22"/>
        </w:rPr>
        <w:t>Los módulos involucrados en el SIRTCP, mediante los cuales se busca establecer las tarifas de referencia y mantener actualizada la información para su estimación son: Infraestructura, peajes, terminales, empresas, vehículos, costos y tarifas.</w:t>
      </w:r>
    </w:p>
    <w:p w:rsidR="00633C44" w:rsidRPr="00B25BD8" w:rsidRDefault="00633C44" w:rsidP="00633C44">
      <w:pPr>
        <w:contextualSpacing/>
        <w:rPr>
          <w:rFonts w:cs="Arial"/>
          <w:sz w:val="22"/>
        </w:rPr>
      </w:pPr>
      <w:r w:rsidRPr="00B25BD8">
        <w:rPr>
          <w:rFonts w:cs="Arial"/>
          <w:sz w:val="22"/>
        </w:rPr>
        <w:t>Modulo Infraestructura. Este módulo define las características propias de las rutas entre un origen y un destino determinado, asociadas a la topografía, distancia de recorrido, tipo de superficie de rodadura, entre otras. De acuerdo con el nivel de información existente y los sistemas de información del Ministerio de Transporte que permitan actualizar estas variables, serán incluidas o no en el modelo, además de la importancia del efecto que estas generen en el resultado final de los costos y su impacto sobre la tarifa.</w:t>
      </w:r>
    </w:p>
    <w:p w:rsidR="00633C44" w:rsidRPr="00B25BD8" w:rsidRDefault="00633C44" w:rsidP="00633C44">
      <w:pPr>
        <w:contextualSpacing/>
        <w:rPr>
          <w:rFonts w:cs="Arial"/>
          <w:sz w:val="22"/>
        </w:rPr>
      </w:pPr>
      <w:r w:rsidRPr="00B25BD8">
        <w:rPr>
          <w:rFonts w:cs="Arial"/>
          <w:sz w:val="22"/>
        </w:rPr>
        <w:t xml:space="preserve">Módulo de peajes. El módulo de peajes, está enfocado en obtener la información relacionada con los costos de los peajes de las vías concesionadas y no concesionadas según el tipo de vehículo y la ruta. </w:t>
      </w:r>
    </w:p>
    <w:p w:rsidR="00633C44" w:rsidRPr="00B25BD8" w:rsidRDefault="00633C44" w:rsidP="00633C44">
      <w:pPr>
        <w:contextualSpacing/>
        <w:rPr>
          <w:rFonts w:cs="Arial"/>
          <w:sz w:val="22"/>
        </w:rPr>
      </w:pPr>
      <w:r w:rsidRPr="00B25BD8">
        <w:rPr>
          <w:rFonts w:cs="Arial"/>
          <w:sz w:val="22"/>
        </w:rPr>
        <w:t>Módulo de terminales de transporte. En éste módulo se recopila información acerca de la demanda de transporte en cantidad de viajes, frecuencias y horarios en que se presenta y por ende al llevar un registro histórico se puede establecer la variación que esta presenta durante el año.</w:t>
      </w:r>
    </w:p>
    <w:p w:rsidR="00633C44" w:rsidRPr="00B25BD8" w:rsidRDefault="00633C44" w:rsidP="00633C44">
      <w:pPr>
        <w:contextualSpacing/>
        <w:rPr>
          <w:rFonts w:cs="Arial"/>
          <w:sz w:val="22"/>
        </w:rPr>
      </w:pPr>
      <w:r w:rsidRPr="00B25BD8">
        <w:rPr>
          <w:rFonts w:cs="Arial"/>
          <w:sz w:val="22"/>
        </w:rPr>
        <w:t>Módulo de empresas. En este módulo se crea un espacio para el registro y control de las empresas legalmente habilitadas que prestan el servicio público de transporte terrestre automotor de pasajeros por carretera.</w:t>
      </w:r>
    </w:p>
    <w:p w:rsidR="00633C44" w:rsidRPr="00B25BD8" w:rsidRDefault="00633C44" w:rsidP="00633C44">
      <w:pPr>
        <w:contextualSpacing/>
        <w:rPr>
          <w:rFonts w:cs="Arial"/>
          <w:sz w:val="22"/>
        </w:rPr>
      </w:pPr>
      <w:r w:rsidRPr="00B25BD8">
        <w:rPr>
          <w:rFonts w:cs="Arial"/>
          <w:sz w:val="22"/>
        </w:rPr>
        <w:t>Módulo de vehículos. En este módulo se registra la información de los vehículos reportados por cada empresa de transporte en combinación con las rutas e itinerarios que cubren.</w:t>
      </w:r>
    </w:p>
    <w:p w:rsidR="00633C44" w:rsidRPr="00B25BD8" w:rsidRDefault="00633C44" w:rsidP="00633C44">
      <w:pPr>
        <w:contextualSpacing/>
        <w:rPr>
          <w:rFonts w:cs="Arial"/>
          <w:sz w:val="22"/>
        </w:rPr>
      </w:pPr>
      <w:r w:rsidRPr="00B25BD8">
        <w:rPr>
          <w:rFonts w:cs="Arial"/>
          <w:sz w:val="22"/>
        </w:rPr>
        <w:t>Módulo de costos. Este módulo involucra los costos fijos, de capital y variables por tipo de vehículo, así como la rentabilidad.</w:t>
      </w:r>
    </w:p>
    <w:p w:rsidR="00633C44" w:rsidRPr="00B25BD8" w:rsidRDefault="00633C44" w:rsidP="00633C44">
      <w:pPr>
        <w:contextualSpacing/>
        <w:rPr>
          <w:rFonts w:cs="Arial"/>
          <w:sz w:val="22"/>
        </w:rPr>
      </w:pPr>
      <w:r w:rsidRPr="00B25BD8">
        <w:rPr>
          <w:rFonts w:cs="Arial"/>
          <w:sz w:val="22"/>
        </w:rPr>
        <w:t>Módulo de tarifas. Este módulo establece la tarifa de referencia contemplando los costos de operación y administración, así como la rentabilidad esperada.</w:t>
      </w:r>
    </w:p>
    <w:p w:rsidR="00633C44" w:rsidRPr="00B25BD8" w:rsidRDefault="00633C44" w:rsidP="00633C44">
      <w:pPr>
        <w:contextualSpacing/>
        <w:rPr>
          <w:rFonts w:cs="Arial"/>
          <w:sz w:val="22"/>
        </w:rPr>
      </w:pPr>
      <w:r w:rsidRPr="00633C44">
        <w:rPr>
          <w:rFonts w:cs="Arial"/>
          <w:b/>
          <w:sz w:val="22"/>
        </w:rPr>
        <w:lastRenderedPageBreak/>
        <w:t>Antecedentes del Proyecto</w:t>
      </w:r>
      <w:r>
        <w:rPr>
          <w:rFonts w:cs="Arial"/>
          <w:b/>
          <w:sz w:val="22"/>
        </w:rPr>
        <w:t xml:space="preserve">: </w:t>
      </w:r>
      <w:r w:rsidRPr="00B25BD8">
        <w:rPr>
          <w:rFonts w:cs="Arial"/>
          <w:sz w:val="22"/>
        </w:rPr>
        <w:t xml:space="preserve">Partiendo de lo estipulado en el decreto 1735 de 2001, por el cual se fija la Red Nacional de Carreteras a cargo de la Nación y se adopta el Plan de Expansión de la Red Nacional de Carreteras, se realizaron los ajustes de información necesarios en el SIRTPC, de manera que siga las especificaciones de la resolución citada, a partir del cual se programó y desarrollo el ajuste y actualización del módulo de infraestructura, relacionando 167 tramos que conforman  las Troncales y Transversales de la Red Vial. </w:t>
      </w:r>
    </w:p>
    <w:p w:rsidR="00633C44" w:rsidRPr="00B25BD8" w:rsidRDefault="00633C44" w:rsidP="00633C44">
      <w:pPr>
        <w:contextualSpacing/>
        <w:rPr>
          <w:rFonts w:cs="Arial"/>
          <w:sz w:val="22"/>
        </w:rPr>
      </w:pPr>
      <w:r w:rsidRPr="00B25BD8">
        <w:rPr>
          <w:rFonts w:cs="Arial"/>
          <w:sz w:val="22"/>
        </w:rPr>
        <w:t>Como primer ítem para alimentar el módulo de infraestructura del SIRTPC, se hace el levantamiento de información de los tramos que conforman cada una de las Troncales y Transversales relacionados en el decreto 1735, siendo indispensable hacer ajustes a los formatos de la información según lineamientos del sistema SIRTPC.</w:t>
      </w:r>
    </w:p>
    <w:p w:rsidR="00633C44" w:rsidRPr="00B25BD8" w:rsidRDefault="00633C44" w:rsidP="00633C44">
      <w:pPr>
        <w:contextualSpacing/>
        <w:rPr>
          <w:rFonts w:cs="Arial"/>
          <w:sz w:val="22"/>
        </w:rPr>
      </w:pPr>
      <w:r w:rsidRPr="00B25BD8">
        <w:rPr>
          <w:rFonts w:cs="Arial"/>
          <w:sz w:val="22"/>
        </w:rPr>
        <w:t xml:space="preserve">El valor de la distancia entre una ciudad y otra, constituye una de las variables que definen la ecuación para el cálculo de la tarifa de transporte de pasajeros en el SIRTPC, por lo cual es necesario realizar las respectivas actualizaciones, a fin de asociar las vías que conforman las Troncales con las ciudades que comunica.  </w:t>
      </w:r>
    </w:p>
    <w:p w:rsidR="00633C44" w:rsidRPr="00B25BD8" w:rsidRDefault="00633C44" w:rsidP="00633C44">
      <w:pPr>
        <w:contextualSpacing/>
        <w:rPr>
          <w:rFonts w:cs="Arial"/>
          <w:sz w:val="22"/>
        </w:rPr>
      </w:pPr>
      <w:r w:rsidRPr="00B25BD8">
        <w:rPr>
          <w:rFonts w:cs="Arial"/>
          <w:sz w:val="22"/>
        </w:rPr>
        <w:t>La definición de las rutas en el SIRTPC, constituyen un insumo de alta relevancia sobre las cuales se establecerá la estimación de las tarifas, una vez se configuren todas las variables que requiere el sistema, es necesario realizar las correspondientes actualizaciones y asociar las vías que constituyen cada Troncal con las rutas habilitadas para prestar el servic</w:t>
      </w:r>
      <w:r>
        <w:rPr>
          <w:rFonts w:cs="Arial"/>
          <w:sz w:val="22"/>
        </w:rPr>
        <w:t xml:space="preserve">io de transporte de pasajeros. </w:t>
      </w:r>
      <w:r w:rsidRPr="00B25BD8">
        <w:rPr>
          <w:rFonts w:cs="Arial"/>
          <w:sz w:val="22"/>
        </w:rPr>
        <w:t xml:space="preserve">Uno de los factores que a nivel de infraestructura impacta los costos de cada ruta, lo constituyen los peajes, por lo cual, es necesario identificar los peajes que se encuentran asociados a las diferentes rutas, relacionando el código de la ruta con el código del peaje que se encuentra en dicho trayecto. </w:t>
      </w:r>
    </w:p>
    <w:p w:rsidR="00FD5E9D" w:rsidRDefault="00633C44" w:rsidP="00633C44">
      <w:pPr>
        <w:contextualSpacing/>
        <w:rPr>
          <w:rFonts w:cs="Arial"/>
          <w:sz w:val="22"/>
          <w:lang w:eastAsia="es-CO"/>
        </w:rPr>
      </w:pPr>
      <w:r w:rsidRPr="00633C44">
        <w:rPr>
          <w:rFonts w:cs="Arial"/>
          <w:b/>
          <w:sz w:val="22"/>
        </w:rPr>
        <w:t>Productos del Proyecto</w:t>
      </w:r>
      <w:r>
        <w:rPr>
          <w:rFonts w:cs="Arial"/>
          <w:b/>
          <w:sz w:val="22"/>
        </w:rPr>
        <w:t xml:space="preserve">: </w:t>
      </w:r>
      <w:r w:rsidRPr="00B25BD8">
        <w:rPr>
          <w:rFonts w:cs="Arial"/>
          <w:sz w:val="22"/>
        </w:rPr>
        <w:t>Durante el año 2017, se realizaron ajustes y actualizaciones de las troncales en el sistema SIRTPC, con el fin de tener información consistente ajustada a la realidad del País, según el marco de información registrado por INVIAS y la reglamentación establecida con el Gobierno Nacional. Bajo el planteamiento anterior, a continuación se especifican los tramos, las distancias y las rutas para cada Troncal y Transversal, que en total retroalimentaron en el SIRTPC en el año 2017, De otra parte, para las 2419 rutas se asociaron, actualizaron y ajustaron los respectivos peajes que se encuentran sobre los trayectos en el corredor vial</w:t>
      </w:r>
    </w:p>
    <w:p w:rsidR="00405CB0" w:rsidRDefault="00405CB0">
      <w:pPr>
        <w:spacing w:after="200" w:line="276" w:lineRule="auto"/>
        <w:jc w:val="left"/>
        <w:rPr>
          <w:rFonts w:cs="Arial"/>
          <w:sz w:val="22"/>
          <w:highlight w:val="yellow"/>
          <w:lang w:eastAsia="es-CO"/>
        </w:rPr>
      </w:pPr>
      <w:r>
        <w:rPr>
          <w:rFonts w:cs="Arial"/>
          <w:sz w:val="22"/>
          <w:highlight w:val="yellow"/>
          <w:lang w:eastAsia="es-CO"/>
        </w:rPr>
        <w:br w:type="page"/>
      </w:r>
    </w:p>
    <w:p w:rsidR="00017325" w:rsidRPr="007E3988" w:rsidRDefault="00D63652" w:rsidP="003D44B7">
      <w:pPr>
        <w:pStyle w:val="Ttulo1"/>
      </w:pPr>
      <w:bookmarkStart w:id="112" w:name="_Toc473412377"/>
      <w:bookmarkStart w:id="113" w:name="_Toc473412527"/>
      <w:bookmarkStart w:id="114" w:name="_Toc505003497"/>
      <w:bookmarkStart w:id="115" w:name="_Ref388470691"/>
      <w:bookmarkStart w:id="116" w:name="_Toc426123025"/>
      <w:bookmarkEnd w:id="58"/>
      <w:bookmarkEnd w:id="59"/>
      <w:r w:rsidRPr="007E3988">
        <w:lastRenderedPageBreak/>
        <w:t>APOYO A LA GESTIÓN MISIONAL</w:t>
      </w:r>
      <w:bookmarkEnd w:id="112"/>
      <w:bookmarkEnd w:id="113"/>
      <w:bookmarkEnd w:id="114"/>
    </w:p>
    <w:p w:rsidR="00D63652" w:rsidRPr="007E3988" w:rsidRDefault="00D63652" w:rsidP="00D63652">
      <w:pPr>
        <w:rPr>
          <w:rFonts w:cs="Arial"/>
          <w:b/>
          <w:sz w:val="22"/>
          <w:lang w:eastAsia="es-CO"/>
        </w:rPr>
      </w:pPr>
    </w:p>
    <w:p w:rsidR="00650E7C" w:rsidRDefault="00650E7C" w:rsidP="00B26A65">
      <w:pPr>
        <w:pStyle w:val="Ttulo2"/>
        <w:numPr>
          <w:ilvl w:val="1"/>
          <w:numId w:val="87"/>
        </w:numPr>
      </w:pPr>
      <w:bookmarkStart w:id="117" w:name="_Toc441649902"/>
      <w:bookmarkStart w:id="118" w:name="_Toc441655578"/>
      <w:bookmarkStart w:id="119" w:name="_Toc441656062"/>
      <w:bookmarkStart w:id="120" w:name="_Toc441656864"/>
      <w:bookmarkStart w:id="121" w:name="_Toc441659653"/>
      <w:bookmarkStart w:id="122" w:name="_Toc441659801"/>
      <w:bookmarkStart w:id="123" w:name="_Toc441659958"/>
      <w:bookmarkStart w:id="124" w:name="_Toc441660011"/>
      <w:bookmarkStart w:id="125" w:name="_Toc441660833"/>
      <w:bookmarkStart w:id="126" w:name="_Toc441661142"/>
      <w:bookmarkStart w:id="127" w:name="_Toc441669940"/>
      <w:bookmarkStart w:id="128" w:name="_Toc441669982"/>
      <w:bookmarkStart w:id="129" w:name="_Toc441670225"/>
      <w:bookmarkStart w:id="130" w:name="_Toc441673923"/>
      <w:bookmarkStart w:id="131" w:name="_Toc441676707"/>
      <w:bookmarkStart w:id="132" w:name="_Toc441760704"/>
      <w:bookmarkStart w:id="133" w:name="_Toc441760747"/>
      <w:bookmarkStart w:id="134" w:name="_Toc441760879"/>
      <w:bookmarkStart w:id="135" w:name="_Toc441761414"/>
      <w:bookmarkStart w:id="136" w:name="_Toc441761726"/>
      <w:bookmarkStart w:id="137" w:name="_Toc441761867"/>
      <w:bookmarkStart w:id="138" w:name="_Toc441761925"/>
      <w:bookmarkStart w:id="139" w:name="_Toc441762115"/>
      <w:bookmarkStart w:id="140" w:name="_Toc441763222"/>
      <w:bookmarkStart w:id="141" w:name="_Toc441823887"/>
      <w:bookmarkStart w:id="142" w:name="_Toc441830144"/>
      <w:bookmarkStart w:id="143" w:name="_Toc441841668"/>
      <w:bookmarkStart w:id="144" w:name="_Toc441841949"/>
      <w:bookmarkStart w:id="145" w:name="_Toc441843797"/>
      <w:bookmarkStart w:id="146" w:name="_Toc441844462"/>
      <w:bookmarkStart w:id="147" w:name="_Toc443471528"/>
      <w:bookmarkStart w:id="148" w:name="_Toc443471938"/>
      <w:bookmarkStart w:id="149" w:name="_Toc445201447"/>
      <w:bookmarkStart w:id="150" w:name="_Toc473412378"/>
      <w:bookmarkStart w:id="151" w:name="_Toc473412528"/>
      <w:bookmarkStart w:id="152" w:name="_Toc50500349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7E3988">
        <w:t>Gestión del Talento Humano</w:t>
      </w:r>
      <w:bookmarkEnd w:id="150"/>
      <w:bookmarkEnd w:id="151"/>
      <w:bookmarkEnd w:id="152"/>
    </w:p>
    <w:p w:rsidR="00650E7C" w:rsidRPr="007E3988" w:rsidRDefault="00650E7C" w:rsidP="00650E7C">
      <w:pPr>
        <w:rPr>
          <w:rFonts w:cs="Arial"/>
          <w:sz w:val="22"/>
          <w:lang w:eastAsia="es-CO"/>
        </w:rPr>
      </w:pPr>
    </w:p>
    <w:p w:rsidR="00650E7C" w:rsidRPr="007E3988" w:rsidRDefault="00650E7C" w:rsidP="00650E7C">
      <w:pPr>
        <w:spacing w:line="276" w:lineRule="auto"/>
        <w:rPr>
          <w:rFonts w:cs="Arial"/>
          <w:sz w:val="22"/>
          <w:u w:val="single"/>
          <w:lang w:eastAsia="es-CO"/>
        </w:rPr>
      </w:pPr>
      <w:r w:rsidRPr="007E3988">
        <w:rPr>
          <w:rFonts w:cs="Arial"/>
          <w:sz w:val="22"/>
          <w:u w:val="single"/>
          <w:lang w:eastAsia="es-CO"/>
        </w:rPr>
        <w:t>Capacitación y Bienestar</w:t>
      </w:r>
    </w:p>
    <w:p w:rsidR="00586018" w:rsidRPr="007E3988" w:rsidRDefault="00586018" w:rsidP="00650E7C">
      <w:pPr>
        <w:spacing w:line="276" w:lineRule="auto"/>
        <w:rPr>
          <w:rFonts w:cs="Arial"/>
          <w:sz w:val="22"/>
          <w:lang w:eastAsia="es-CO"/>
        </w:rPr>
      </w:pPr>
    </w:p>
    <w:p w:rsidR="00650E7C" w:rsidRDefault="00A2765E" w:rsidP="00A2765E">
      <w:pPr>
        <w:spacing w:line="276" w:lineRule="auto"/>
        <w:jc w:val="center"/>
        <w:rPr>
          <w:rFonts w:cs="Arial"/>
          <w:sz w:val="22"/>
          <w:lang w:eastAsia="es-CO"/>
        </w:rPr>
      </w:pPr>
      <w:r w:rsidRPr="002644F1">
        <w:rPr>
          <w:rFonts w:cs="Arial"/>
          <w:noProof/>
          <w:sz w:val="22"/>
          <w:lang w:val="es-CO" w:eastAsia="es-CO"/>
        </w:rPr>
        <w:drawing>
          <wp:inline distT="0" distB="0" distL="0" distR="0" wp14:anchorId="7D671F15" wp14:editId="782070EC">
            <wp:extent cx="5610225" cy="4638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546" cy="4644728"/>
                    </a:xfrm>
                    <a:prstGeom prst="rect">
                      <a:avLst/>
                    </a:prstGeom>
                    <a:noFill/>
                    <a:ln>
                      <a:noFill/>
                    </a:ln>
                  </pic:spPr>
                </pic:pic>
              </a:graphicData>
            </a:graphic>
          </wp:inline>
        </w:drawing>
      </w:r>
    </w:p>
    <w:p w:rsidR="00A2765E" w:rsidRDefault="00A2765E" w:rsidP="00650E7C">
      <w:pPr>
        <w:spacing w:line="276" w:lineRule="auto"/>
        <w:rPr>
          <w:rFonts w:cs="Arial"/>
          <w:sz w:val="22"/>
          <w:lang w:eastAsia="es-CO"/>
        </w:rPr>
      </w:pPr>
    </w:p>
    <w:p w:rsidR="00A2765E" w:rsidRDefault="00A2765E" w:rsidP="00A2765E">
      <w:pPr>
        <w:spacing w:line="276" w:lineRule="auto"/>
        <w:jc w:val="center"/>
        <w:rPr>
          <w:rFonts w:cs="Arial"/>
          <w:sz w:val="22"/>
          <w:lang w:eastAsia="es-CO"/>
        </w:rPr>
      </w:pPr>
      <w:r w:rsidRPr="002644F1">
        <w:rPr>
          <w:rFonts w:cs="Arial"/>
          <w:noProof/>
          <w:sz w:val="22"/>
          <w:lang w:val="es-CO" w:eastAsia="es-CO"/>
        </w:rPr>
        <w:lastRenderedPageBreak/>
        <w:drawing>
          <wp:inline distT="0" distB="0" distL="0" distR="0" wp14:anchorId="36BFCF6C" wp14:editId="77852DAF">
            <wp:extent cx="5610860" cy="6715125"/>
            <wp:effectExtent l="0" t="0" r="889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1707" cy="6716139"/>
                    </a:xfrm>
                    <a:prstGeom prst="rect">
                      <a:avLst/>
                    </a:prstGeom>
                    <a:noFill/>
                    <a:ln>
                      <a:noFill/>
                    </a:ln>
                  </pic:spPr>
                </pic:pic>
              </a:graphicData>
            </a:graphic>
          </wp:inline>
        </w:drawing>
      </w:r>
    </w:p>
    <w:p w:rsidR="00A2765E" w:rsidRDefault="00A2765E" w:rsidP="00650E7C">
      <w:pPr>
        <w:spacing w:line="276" w:lineRule="auto"/>
        <w:rPr>
          <w:rFonts w:cs="Arial"/>
          <w:sz w:val="22"/>
          <w:lang w:eastAsia="es-CO"/>
        </w:rPr>
      </w:pPr>
    </w:p>
    <w:p w:rsidR="00A2765E" w:rsidRDefault="00A2765E" w:rsidP="00650E7C">
      <w:pPr>
        <w:spacing w:line="276" w:lineRule="auto"/>
        <w:rPr>
          <w:rFonts w:cs="Arial"/>
          <w:sz w:val="22"/>
          <w:lang w:eastAsia="es-CO"/>
        </w:rPr>
      </w:pPr>
    </w:p>
    <w:p w:rsidR="00A2765E" w:rsidRDefault="00A2765E" w:rsidP="00650E7C">
      <w:pPr>
        <w:spacing w:line="276" w:lineRule="auto"/>
        <w:rPr>
          <w:rFonts w:cs="Arial"/>
          <w:sz w:val="22"/>
          <w:lang w:eastAsia="es-CO"/>
        </w:rPr>
      </w:pPr>
    </w:p>
    <w:p w:rsidR="00A2765E" w:rsidRDefault="00A2765E" w:rsidP="00650E7C">
      <w:pPr>
        <w:spacing w:line="276" w:lineRule="auto"/>
        <w:rPr>
          <w:rFonts w:cs="Arial"/>
          <w:sz w:val="22"/>
          <w:lang w:eastAsia="es-CO"/>
        </w:rPr>
      </w:pPr>
    </w:p>
    <w:p w:rsidR="00A2765E" w:rsidRDefault="00A2765E" w:rsidP="00650E7C">
      <w:pPr>
        <w:spacing w:line="276" w:lineRule="auto"/>
        <w:rPr>
          <w:rFonts w:cs="Arial"/>
          <w:sz w:val="22"/>
          <w:lang w:eastAsia="es-CO"/>
        </w:rPr>
      </w:pPr>
    </w:p>
    <w:p w:rsidR="00A2765E" w:rsidRDefault="00A2765E" w:rsidP="00650E7C">
      <w:pPr>
        <w:spacing w:line="276" w:lineRule="auto"/>
        <w:rPr>
          <w:rFonts w:cs="Arial"/>
          <w:sz w:val="22"/>
          <w:lang w:eastAsia="es-CO"/>
        </w:rPr>
      </w:pPr>
      <w:r>
        <w:rPr>
          <w:rFonts w:cs="Arial"/>
          <w:sz w:val="22"/>
          <w:lang w:eastAsia="es-CO"/>
        </w:rPr>
        <w:lastRenderedPageBreak/>
        <w:t>Presupuesto año 2018:</w:t>
      </w:r>
    </w:p>
    <w:p w:rsidR="00A2765E" w:rsidRDefault="00A2765E" w:rsidP="00650E7C">
      <w:pPr>
        <w:spacing w:line="276" w:lineRule="auto"/>
        <w:rPr>
          <w:rFonts w:cs="Arial"/>
          <w:sz w:val="22"/>
          <w:lang w:eastAsia="es-CO"/>
        </w:rPr>
      </w:pPr>
    </w:p>
    <w:p w:rsidR="00A2765E" w:rsidRDefault="00A2765E" w:rsidP="00A2765E">
      <w:pPr>
        <w:spacing w:line="276" w:lineRule="auto"/>
        <w:jc w:val="center"/>
        <w:rPr>
          <w:rFonts w:cs="Arial"/>
          <w:sz w:val="22"/>
          <w:lang w:eastAsia="es-CO"/>
        </w:rPr>
      </w:pPr>
      <w:r w:rsidRPr="002644F1">
        <w:rPr>
          <w:rFonts w:cs="Arial"/>
          <w:noProof/>
          <w:sz w:val="22"/>
          <w:lang w:val="es-CO" w:eastAsia="es-CO"/>
        </w:rPr>
        <w:drawing>
          <wp:inline distT="0" distB="0" distL="0" distR="0" wp14:anchorId="3128D8C8" wp14:editId="07114C26">
            <wp:extent cx="5610225" cy="34480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7323" cy="3452412"/>
                    </a:xfrm>
                    <a:prstGeom prst="rect">
                      <a:avLst/>
                    </a:prstGeom>
                    <a:noFill/>
                    <a:ln>
                      <a:noFill/>
                    </a:ln>
                  </pic:spPr>
                </pic:pic>
              </a:graphicData>
            </a:graphic>
          </wp:inline>
        </w:drawing>
      </w:r>
    </w:p>
    <w:p w:rsidR="00A2765E" w:rsidRDefault="00A2765E" w:rsidP="00650E7C">
      <w:pPr>
        <w:spacing w:line="276" w:lineRule="auto"/>
        <w:rPr>
          <w:rFonts w:cs="Arial"/>
          <w:sz w:val="22"/>
          <w:lang w:eastAsia="es-CO"/>
        </w:rPr>
      </w:pPr>
    </w:p>
    <w:p w:rsidR="00A2765E" w:rsidRPr="00753C27" w:rsidRDefault="00A2765E" w:rsidP="00A2765E">
      <w:pPr>
        <w:contextualSpacing/>
        <w:rPr>
          <w:rFonts w:eastAsia="Times New Roman" w:cs="Arial"/>
          <w:b/>
          <w:color w:val="000000" w:themeColor="text1"/>
          <w:sz w:val="22"/>
          <w:lang w:eastAsia="es-ES"/>
        </w:rPr>
      </w:pPr>
      <w:r w:rsidRPr="00753C27">
        <w:rPr>
          <w:rFonts w:eastAsia="Times New Roman" w:cs="Arial"/>
          <w:b/>
          <w:color w:val="000000" w:themeColor="text1"/>
          <w:sz w:val="22"/>
          <w:lang w:eastAsia="es-ES"/>
        </w:rPr>
        <w:t>Logros:</w:t>
      </w:r>
    </w:p>
    <w:p w:rsidR="00A2765E" w:rsidRPr="002644F1" w:rsidRDefault="00A2765E" w:rsidP="00A2765E">
      <w:pPr>
        <w:contextualSpacing/>
        <w:rPr>
          <w:rFonts w:cs="Arial"/>
          <w:sz w:val="22"/>
        </w:rPr>
      </w:pPr>
      <w:r w:rsidRPr="002644F1">
        <w:rPr>
          <w:rFonts w:cs="Arial"/>
          <w:sz w:val="22"/>
        </w:rPr>
        <w:t>Convenios de Cooperación  con Instituciones  Educativas</w:t>
      </w:r>
    </w:p>
    <w:p w:rsidR="00A2765E" w:rsidRPr="002644F1" w:rsidRDefault="00A2765E" w:rsidP="00A2765E">
      <w:pPr>
        <w:contextualSpacing/>
        <w:rPr>
          <w:rFonts w:cs="Arial"/>
          <w:sz w:val="22"/>
        </w:rPr>
      </w:pPr>
      <w:r w:rsidRPr="002644F1">
        <w:rPr>
          <w:rFonts w:cs="Arial"/>
          <w:sz w:val="22"/>
        </w:rPr>
        <w:t>Universidad Nacional  - Uniminuto  - Colegio Margarita Bosco- No. pasantes 41  en Bogotá.</w:t>
      </w:r>
    </w:p>
    <w:p w:rsidR="00A2765E" w:rsidRDefault="00A2765E" w:rsidP="00A2765E">
      <w:pPr>
        <w:contextualSpacing/>
        <w:rPr>
          <w:rFonts w:cs="Arial"/>
          <w:sz w:val="22"/>
        </w:rPr>
      </w:pPr>
      <w:r w:rsidRPr="002644F1">
        <w:rPr>
          <w:rFonts w:cs="Arial"/>
          <w:sz w:val="22"/>
        </w:rPr>
        <w:t xml:space="preserve"> Programa Estado </w:t>
      </w:r>
      <w:r w:rsidR="00116613" w:rsidRPr="002644F1">
        <w:rPr>
          <w:rFonts w:cs="Arial"/>
          <w:sz w:val="22"/>
        </w:rPr>
        <w:t>Joven:</w:t>
      </w:r>
      <w:r w:rsidRPr="002644F1">
        <w:rPr>
          <w:rFonts w:cs="Arial"/>
          <w:sz w:val="22"/>
        </w:rPr>
        <w:t xml:space="preserve"> 12  pasantes.</w:t>
      </w:r>
    </w:p>
    <w:p w:rsidR="00A2765E" w:rsidRPr="002644F1" w:rsidRDefault="00A2765E" w:rsidP="00A2765E">
      <w:pPr>
        <w:contextualSpacing/>
        <w:rPr>
          <w:rFonts w:cs="Arial"/>
          <w:sz w:val="22"/>
        </w:rPr>
      </w:pPr>
    </w:p>
    <w:p w:rsidR="00A2765E" w:rsidRPr="00753C27" w:rsidRDefault="00A2765E" w:rsidP="00A2765E">
      <w:pPr>
        <w:contextualSpacing/>
        <w:rPr>
          <w:rFonts w:cs="Arial"/>
          <w:b/>
          <w:sz w:val="22"/>
        </w:rPr>
      </w:pPr>
      <w:r w:rsidRPr="00753C27">
        <w:rPr>
          <w:rFonts w:cs="Arial"/>
          <w:b/>
          <w:sz w:val="22"/>
        </w:rPr>
        <w:t>Programa  Evaluación del Desempeño Laboral y Acuerdo de Gestión:</w:t>
      </w:r>
    </w:p>
    <w:p w:rsidR="00A2765E" w:rsidRPr="002644F1" w:rsidRDefault="00A2765E" w:rsidP="00442CAC">
      <w:pPr>
        <w:numPr>
          <w:ilvl w:val="0"/>
          <w:numId w:val="64"/>
        </w:numPr>
        <w:spacing w:after="160"/>
        <w:contextualSpacing/>
        <w:jc w:val="left"/>
        <w:rPr>
          <w:rFonts w:cs="Arial"/>
          <w:sz w:val="22"/>
        </w:rPr>
      </w:pPr>
      <w:r w:rsidRPr="002644F1">
        <w:rPr>
          <w:rFonts w:cs="Arial"/>
          <w:sz w:val="22"/>
        </w:rPr>
        <w:t>Sistematización del procedimiento (aplicativo)</w:t>
      </w:r>
    </w:p>
    <w:p w:rsidR="00A2765E" w:rsidRDefault="00A2765E" w:rsidP="00442CAC">
      <w:pPr>
        <w:numPr>
          <w:ilvl w:val="0"/>
          <w:numId w:val="64"/>
        </w:numPr>
        <w:spacing w:after="160"/>
        <w:contextualSpacing/>
        <w:jc w:val="left"/>
        <w:rPr>
          <w:rFonts w:cs="Arial"/>
          <w:sz w:val="22"/>
        </w:rPr>
      </w:pPr>
      <w:r w:rsidRPr="002644F1">
        <w:rPr>
          <w:rFonts w:cs="Arial"/>
          <w:sz w:val="22"/>
        </w:rPr>
        <w:t>Sensibilización de la  nueva metodología a los Gerentes Públicos</w:t>
      </w:r>
    </w:p>
    <w:p w:rsidR="00A2765E" w:rsidRPr="002644F1" w:rsidRDefault="00A2765E" w:rsidP="00A2765E">
      <w:pPr>
        <w:spacing w:after="160"/>
        <w:contextualSpacing/>
        <w:jc w:val="left"/>
        <w:rPr>
          <w:rFonts w:cs="Arial"/>
          <w:sz w:val="22"/>
        </w:rPr>
      </w:pPr>
    </w:p>
    <w:p w:rsidR="00A2765E" w:rsidRPr="00753C27" w:rsidRDefault="00A2765E" w:rsidP="00A2765E">
      <w:pPr>
        <w:contextualSpacing/>
        <w:rPr>
          <w:rFonts w:cs="Arial"/>
          <w:b/>
          <w:sz w:val="22"/>
        </w:rPr>
      </w:pPr>
      <w:r w:rsidRPr="00753C27">
        <w:rPr>
          <w:rFonts w:cs="Arial"/>
          <w:b/>
          <w:sz w:val="22"/>
        </w:rPr>
        <w:t>Programa de Capacitación:</w:t>
      </w:r>
    </w:p>
    <w:p w:rsidR="00A2765E" w:rsidRPr="002644F1" w:rsidRDefault="00A2765E" w:rsidP="00A2765E">
      <w:pPr>
        <w:contextualSpacing/>
        <w:rPr>
          <w:rFonts w:cs="Arial"/>
          <w:sz w:val="22"/>
        </w:rPr>
      </w:pPr>
      <w:r w:rsidRPr="002644F1">
        <w:rPr>
          <w:rFonts w:cs="Arial"/>
          <w:sz w:val="22"/>
        </w:rPr>
        <w:t>Visitas Técnicas dentro de los programas de capacitación de Transporte Tránsito e Infraestructura -Beneficiados 45 funcionarios  en Planta  Central.</w:t>
      </w:r>
    </w:p>
    <w:p w:rsidR="00A2765E" w:rsidRDefault="00A2765E" w:rsidP="00A2765E">
      <w:pPr>
        <w:contextualSpacing/>
        <w:rPr>
          <w:rFonts w:cs="Arial"/>
          <w:sz w:val="22"/>
        </w:rPr>
      </w:pPr>
      <w:r w:rsidRPr="002644F1">
        <w:rPr>
          <w:rFonts w:cs="Arial"/>
          <w:sz w:val="22"/>
        </w:rPr>
        <w:t xml:space="preserve">Descuento de </w:t>
      </w:r>
      <w:r w:rsidR="00BA6BEF" w:rsidRPr="002644F1">
        <w:rPr>
          <w:rFonts w:cs="Arial"/>
          <w:sz w:val="22"/>
        </w:rPr>
        <w:t>Maestría</w:t>
      </w:r>
      <w:r w:rsidRPr="002644F1">
        <w:rPr>
          <w:rFonts w:cs="Arial"/>
          <w:sz w:val="22"/>
        </w:rPr>
        <w:t xml:space="preserve">  -Universidad de los Andes  para los funcionarios del Ministerio de Transporte.</w:t>
      </w:r>
    </w:p>
    <w:p w:rsidR="00A2765E" w:rsidRDefault="00A2765E" w:rsidP="00A2765E">
      <w:pPr>
        <w:contextualSpacing/>
        <w:rPr>
          <w:rFonts w:cs="Arial"/>
          <w:sz w:val="22"/>
        </w:rPr>
      </w:pPr>
    </w:p>
    <w:p w:rsidR="00A2765E" w:rsidRPr="002644F1" w:rsidRDefault="00A2765E" w:rsidP="00A2765E">
      <w:pPr>
        <w:contextualSpacing/>
        <w:rPr>
          <w:rFonts w:cs="Arial"/>
          <w:sz w:val="22"/>
        </w:rPr>
      </w:pPr>
      <w:r w:rsidRPr="002644F1">
        <w:rPr>
          <w:rFonts w:cs="Arial"/>
          <w:b/>
          <w:sz w:val="22"/>
        </w:rPr>
        <w:lastRenderedPageBreak/>
        <w:t>Retos 2018</w:t>
      </w:r>
    </w:p>
    <w:p w:rsidR="00A2765E" w:rsidRPr="002644F1" w:rsidRDefault="00A2765E" w:rsidP="00442CAC">
      <w:pPr>
        <w:numPr>
          <w:ilvl w:val="0"/>
          <w:numId w:val="65"/>
        </w:numPr>
        <w:spacing w:after="160"/>
        <w:contextualSpacing/>
        <w:jc w:val="left"/>
        <w:rPr>
          <w:rFonts w:cs="Arial"/>
          <w:sz w:val="22"/>
        </w:rPr>
      </w:pPr>
      <w:r w:rsidRPr="002644F1">
        <w:rPr>
          <w:rFonts w:cs="Arial"/>
          <w:sz w:val="22"/>
        </w:rPr>
        <w:t>Ejecución de los presupuestos de los planes Institucionales de Capacitación y Bienestar de la  presente vigencia al 100%.</w:t>
      </w:r>
    </w:p>
    <w:p w:rsidR="00A2765E" w:rsidRPr="00A2765E" w:rsidRDefault="00A2765E" w:rsidP="00442CAC">
      <w:pPr>
        <w:pStyle w:val="Prrafodelista"/>
        <w:numPr>
          <w:ilvl w:val="0"/>
          <w:numId w:val="65"/>
        </w:numPr>
        <w:spacing w:line="276" w:lineRule="auto"/>
        <w:rPr>
          <w:rFonts w:cs="Arial"/>
          <w:sz w:val="22"/>
          <w:lang w:eastAsia="es-CO"/>
        </w:rPr>
      </w:pPr>
      <w:r w:rsidRPr="00A2765E">
        <w:rPr>
          <w:rFonts w:cs="Arial"/>
          <w:sz w:val="22"/>
        </w:rPr>
        <w:t>Mayor cobertura de los programas de Capacitación y Bienestar en las Direcciones Territoriales e Inspecciones Fluviales</w:t>
      </w:r>
    </w:p>
    <w:p w:rsidR="00A2765E" w:rsidRDefault="00A2765E" w:rsidP="00650E7C">
      <w:pPr>
        <w:spacing w:line="276" w:lineRule="auto"/>
        <w:rPr>
          <w:rFonts w:cs="Arial"/>
          <w:sz w:val="22"/>
          <w:lang w:eastAsia="es-CO"/>
        </w:rPr>
      </w:pPr>
    </w:p>
    <w:p w:rsidR="00650E7C" w:rsidRDefault="00D37DB9" w:rsidP="00650E7C">
      <w:pPr>
        <w:autoSpaceDE w:val="0"/>
        <w:rPr>
          <w:rFonts w:cs="Arial"/>
          <w:sz w:val="22"/>
          <w:u w:val="single"/>
          <w:lang w:eastAsia="es-CO"/>
        </w:rPr>
      </w:pPr>
      <w:r>
        <w:rPr>
          <w:rFonts w:cs="Arial"/>
          <w:sz w:val="22"/>
          <w:u w:val="single"/>
          <w:lang w:eastAsia="es-CO"/>
        </w:rPr>
        <w:t xml:space="preserve">Sistema de Gestión de Seguridad y Salud en el Trabajo y </w:t>
      </w:r>
      <w:r w:rsidR="00650E7C" w:rsidRPr="007E3988">
        <w:rPr>
          <w:rFonts w:cs="Arial"/>
          <w:sz w:val="22"/>
          <w:u w:val="single"/>
          <w:lang w:eastAsia="es-CO"/>
        </w:rPr>
        <w:t>actividad física</w:t>
      </w:r>
      <w:r>
        <w:rPr>
          <w:rFonts w:cs="Arial"/>
          <w:sz w:val="22"/>
          <w:u w:val="single"/>
          <w:lang w:eastAsia="es-CO"/>
        </w:rPr>
        <w:t xml:space="preserve"> para la salud</w:t>
      </w:r>
      <w:r w:rsidR="0008674E">
        <w:rPr>
          <w:rFonts w:cs="Arial"/>
          <w:sz w:val="22"/>
          <w:u w:val="single"/>
          <w:lang w:eastAsia="es-CO"/>
        </w:rPr>
        <w:t>, recreación y deporte</w:t>
      </w:r>
    </w:p>
    <w:p w:rsidR="006E1A04" w:rsidRDefault="006E1A04" w:rsidP="00650E7C">
      <w:pPr>
        <w:autoSpaceDE w:val="0"/>
        <w:rPr>
          <w:rFonts w:cs="Arial"/>
          <w:sz w:val="22"/>
          <w:u w:val="single"/>
          <w:lang w:eastAsia="es-CO"/>
        </w:rPr>
      </w:pPr>
    </w:p>
    <w:p w:rsidR="0008674E" w:rsidRDefault="0008674E" w:rsidP="00650E7C">
      <w:pPr>
        <w:autoSpaceDE w:val="0"/>
        <w:rPr>
          <w:rFonts w:cs="Arial"/>
          <w:sz w:val="22"/>
          <w:u w:val="single"/>
          <w:lang w:eastAsia="es-CO"/>
        </w:rPr>
      </w:pPr>
      <w:r w:rsidRPr="002644F1">
        <w:rPr>
          <w:rFonts w:cs="Arial"/>
          <w:noProof/>
          <w:sz w:val="22"/>
          <w:lang w:val="es-CO" w:eastAsia="es-CO"/>
        </w:rPr>
        <w:drawing>
          <wp:inline distT="0" distB="0" distL="0" distR="0" wp14:anchorId="4CE21DCB" wp14:editId="199DC153">
            <wp:extent cx="5209466" cy="1971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058" cy="1984389"/>
                    </a:xfrm>
                    <a:prstGeom prst="rect">
                      <a:avLst/>
                    </a:prstGeom>
                    <a:noFill/>
                    <a:ln>
                      <a:noFill/>
                    </a:ln>
                  </pic:spPr>
                </pic:pic>
              </a:graphicData>
            </a:graphic>
          </wp:inline>
        </w:drawing>
      </w:r>
    </w:p>
    <w:p w:rsidR="0008674E" w:rsidRDefault="0008674E" w:rsidP="00650E7C">
      <w:pPr>
        <w:autoSpaceDE w:val="0"/>
        <w:rPr>
          <w:rFonts w:cs="Arial"/>
          <w:sz w:val="22"/>
          <w:u w:val="single"/>
          <w:lang w:eastAsia="es-CO"/>
        </w:rPr>
      </w:pPr>
      <w:r w:rsidRPr="002644F1">
        <w:rPr>
          <w:rFonts w:cs="Arial"/>
          <w:noProof/>
          <w:sz w:val="22"/>
          <w:lang w:val="es-CO" w:eastAsia="es-CO"/>
        </w:rPr>
        <w:drawing>
          <wp:inline distT="0" distB="0" distL="0" distR="0" wp14:anchorId="258600A4" wp14:editId="20D368D9">
            <wp:extent cx="5210175" cy="259139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5626" cy="2599084"/>
                    </a:xfrm>
                    <a:prstGeom prst="rect">
                      <a:avLst/>
                    </a:prstGeom>
                    <a:noFill/>
                    <a:ln>
                      <a:noFill/>
                    </a:ln>
                  </pic:spPr>
                </pic:pic>
              </a:graphicData>
            </a:graphic>
          </wp:inline>
        </w:drawing>
      </w:r>
    </w:p>
    <w:p w:rsidR="00D505F6" w:rsidRPr="00BA6BEF" w:rsidRDefault="00D505F6" w:rsidP="00BA6BEF">
      <w:pPr>
        <w:autoSpaceDE w:val="0"/>
        <w:rPr>
          <w:rFonts w:cs="Arial"/>
          <w:sz w:val="22"/>
          <w:lang w:eastAsia="es-CO"/>
        </w:rPr>
      </w:pPr>
    </w:p>
    <w:p w:rsidR="00D505F6" w:rsidRPr="00BA6BEF" w:rsidRDefault="00D505F6" w:rsidP="00BA6BEF">
      <w:pPr>
        <w:autoSpaceDE w:val="0"/>
        <w:rPr>
          <w:rFonts w:cs="Arial"/>
          <w:sz w:val="22"/>
          <w:lang w:eastAsia="es-CO"/>
        </w:rPr>
      </w:pPr>
    </w:p>
    <w:p w:rsidR="00D505F6" w:rsidRPr="00BA6BEF" w:rsidRDefault="00D505F6" w:rsidP="00BA6BEF">
      <w:pPr>
        <w:autoSpaceDE w:val="0"/>
        <w:rPr>
          <w:rFonts w:cs="Arial"/>
          <w:sz w:val="22"/>
          <w:lang w:eastAsia="es-CO"/>
        </w:rPr>
      </w:pPr>
    </w:p>
    <w:p w:rsidR="00D505F6" w:rsidRDefault="00D505F6" w:rsidP="0008674E">
      <w:pPr>
        <w:autoSpaceDE w:val="0"/>
        <w:jc w:val="center"/>
        <w:rPr>
          <w:rFonts w:cs="Arial"/>
          <w:sz w:val="22"/>
          <w:u w:val="single"/>
          <w:lang w:eastAsia="es-CO"/>
        </w:rPr>
      </w:pPr>
      <w:r w:rsidRPr="002644F1">
        <w:rPr>
          <w:rFonts w:cs="Arial"/>
          <w:noProof/>
          <w:sz w:val="22"/>
          <w:lang w:val="es-CO" w:eastAsia="es-CO"/>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0</wp:posOffset>
            </wp:positionV>
            <wp:extent cx="5267325" cy="3038475"/>
            <wp:effectExtent l="0" t="0" r="9525" b="9525"/>
            <wp:wrapTight wrapText="bothSides">
              <wp:wrapPolygon edited="0">
                <wp:start x="8124" y="0"/>
                <wp:lineTo x="0" y="1490"/>
                <wp:lineTo x="0" y="3656"/>
                <wp:lineTo x="2969" y="4334"/>
                <wp:lineTo x="0" y="5688"/>
                <wp:lineTo x="0" y="6094"/>
                <wp:lineTo x="3281" y="6636"/>
                <wp:lineTo x="2969" y="6771"/>
                <wp:lineTo x="2969" y="21532"/>
                <wp:lineTo x="13749" y="21532"/>
                <wp:lineTo x="16093" y="21397"/>
                <wp:lineTo x="18671" y="20449"/>
                <wp:lineTo x="18749" y="11376"/>
                <wp:lineTo x="18124" y="11240"/>
                <wp:lineTo x="18749" y="10698"/>
                <wp:lineTo x="18749" y="6771"/>
                <wp:lineTo x="18124" y="6636"/>
                <wp:lineTo x="21561" y="6094"/>
                <wp:lineTo x="21561" y="1490"/>
                <wp:lineTo x="12968" y="0"/>
                <wp:lineTo x="8124" y="0"/>
              </wp:wrapPolygon>
            </wp:wrapTight>
            <wp:docPr id="38"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5267325" cy="303847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D505F6" w:rsidRDefault="00D505F6" w:rsidP="0008674E">
      <w:pPr>
        <w:autoSpaceDE w:val="0"/>
        <w:jc w:val="center"/>
        <w:rPr>
          <w:rFonts w:cs="Arial"/>
          <w:sz w:val="22"/>
          <w:u w:val="single"/>
          <w:lang w:eastAsia="es-CO"/>
        </w:rPr>
      </w:pPr>
    </w:p>
    <w:p w:rsidR="00D505F6" w:rsidRDefault="00D505F6" w:rsidP="0008674E">
      <w:pPr>
        <w:autoSpaceDE w:val="0"/>
        <w:jc w:val="center"/>
        <w:rPr>
          <w:rFonts w:cs="Arial"/>
          <w:sz w:val="22"/>
          <w:u w:val="single"/>
          <w:lang w:eastAsia="es-CO"/>
        </w:rPr>
      </w:pPr>
    </w:p>
    <w:p w:rsidR="00D505F6" w:rsidRDefault="00D505F6" w:rsidP="0008674E">
      <w:pPr>
        <w:autoSpaceDE w:val="0"/>
        <w:jc w:val="center"/>
        <w:rPr>
          <w:rFonts w:cs="Arial"/>
          <w:sz w:val="22"/>
          <w:u w:val="single"/>
          <w:lang w:eastAsia="es-CO"/>
        </w:rPr>
      </w:pPr>
    </w:p>
    <w:p w:rsidR="00D505F6" w:rsidRDefault="00D505F6" w:rsidP="0008674E">
      <w:pPr>
        <w:autoSpaceDE w:val="0"/>
        <w:jc w:val="center"/>
        <w:rPr>
          <w:rFonts w:cs="Arial"/>
          <w:sz w:val="22"/>
          <w:u w:val="single"/>
          <w:lang w:eastAsia="es-CO"/>
        </w:rPr>
      </w:pPr>
    </w:p>
    <w:p w:rsidR="0008674E" w:rsidRDefault="0008674E" w:rsidP="0008674E">
      <w:pPr>
        <w:autoSpaceDE w:val="0"/>
        <w:jc w:val="center"/>
        <w:rPr>
          <w:rFonts w:cs="Arial"/>
          <w:sz w:val="22"/>
          <w:u w:val="single"/>
          <w:lang w:eastAsia="es-CO"/>
        </w:rPr>
      </w:pPr>
    </w:p>
    <w:p w:rsidR="00D505F6" w:rsidRDefault="00D505F6"/>
    <w:p w:rsidR="00D505F6" w:rsidRDefault="00D505F6"/>
    <w:p w:rsidR="00D505F6" w:rsidRDefault="00D505F6"/>
    <w:p w:rsidR="00D505F6" w:rsidRDefault="00D505F6"/>
    <w:p w:rsidR="00D505F6" w:rsidRDefault="00D505F6"/>
    <w:tbl>
      <w:tblPr>
        <w:tblW w:w="7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905"/>
        <w:gridCol w:w="6880"/>
      </w:tblGrid>
      <w:tr w:rsidR="0008674E" w:rsidRPr="00D505F6" w:rsidTr="00D505F6">
        <w:trPr>
          <w:trHeight w:val="510"/>
          <w:jc w:val="center"/>
        </w:trPr>
        <w:tc>
          <w:tcPr>
            <w:tcW w:w="905" w:type="dxa"/>
            <w:vMerge w:val="restart"/>
            <w:shd w:val="pct25" w:color="000000" w:fill="B1B1B1"/>
            <w:vAlign w:val="center"/>
            <w:hideMark/>
          </w:tcPr>
          <w:p w:rsidR="0008674E" w:rsidRPr="00D505F6" w:rsidRDefault="0008674E" w:rsidP="00F91368">
            <w:pPr>
              <w:contextualSpacing/>
              <w:jc w:val="center"/>
              <w:rPr>
                <w:rFonts w:cs="Arial"/>
                <w:b/>
                <w:bCs/>
                <w:color w:val="000000"/>
                <w:sz w:val="18"/>
                <w:szCs w:val="18"/>
              </w:rPr>
            </w:pPr>
            <w:r w:rsidRPr="00D505F6">
              <w:rPr>
                <w:rFonts w:cs="Arial"/>
                <w:b/>
                <w:bCs/>
                <w:color w:val="000000"/>
                <w:sz w:val="18"/>
                <w:szCs w:val="18"/>
              </w:rPr>
              <w:t>No.</w:t>
            </w:r>
          </w:p>
        </w:tc>
        <w:tc>
          <w:tcPr>
            <w:tcW w:w="6880" w:type="dxa"/>
            <w:vMerge w:val="restart"/>
            <w:shd w:val="pct25" w:color="000000" w:fill="B1B1B1"/>
            <w:vAlign w:val="center"/>
            <w:hideMark/>
          </w:tcPr>
          <w:p w:rsidR="0008674E" w:rsidRPr="00D505F6" w:rsidRDefault="0008674E" w:rsidP="00F91368">
            <w:pPr>
              <w:contextualSpacing/>
              <w:jc w:val="center"/>
              <w:rPr>
                <w:rFonts w:cs="Arial"/>
                <w:b/>
                <w:bCs/>
                <w:color w:val="000000"/>
                <w:sz w:val="18"/>
                <w:szCs w:val="18"/>
              </w:rPr>
            </w:pPr>
            <w:r w:rsidRPr="00D505F6">
              <w:rPr>
                <w:rFonts w:cs="Arial"/>
                <w:b/>
                <w:bCs/>
                <w:color w:val="000000"/>
                <w:sz w:val="18"/>
                <w:szCs w:val="18"/>
              </w:rPr>
              <w:t>PROGRAMA DE FACTORES PSICOSOCIALES - TALLERES REALIZADOS</w:t>
            </w:r>
          </w:p>
        </w:tc>
      </w:tr>
      <w:tr w:rsidR="0008674E" w:rsidRPr="00D505F6" w:rsidTr="00D505F6">
        <w:trPr>
          <w:trHeight w:val="517"/>
          <w:jc w:val="center"/>
        </w:trPr>
        <w:tc>
          <w:tcPr>
            <w:tcW w:w="905" w:type="dxa"/>
            <w:vMerge/>
            <w:vAlign w:val="center"/>
            <w:hideMark/>
          </w:tcPr>
          <w:p w:rsidR="0008674E" w:rsidRPr="00D505F6" w:rsidRDefault="0008674E" w:rsidP="00F91368">
            <w:pPr>
              <w:contextualSpacing/>
              <w:rPr>
                <w:rFonts w:cs="Arial"/>
                <w:b/>
                <w:bCs/>
                <w:color w:val="000000"/>
                <w:sz w:val="18"/>
                <w:szCs w:val="18"/>
              </w:rPr>
            </w:pPr>
          </w:p>
        </w:tc>
        <w:tc>
          <w:tcPr>
            <w:tcW w:w="6880" w:type="dxa"/>
            <w:vMerge/>
            <w:vAlign w:val="center"/>
            <w:hideMark/>
          </w:tcPr>
          <w:p w:rsidR="0008674E" w:rsidRPr="00D505F6" w:rsidRDefault="0008674E" w:rsidP="00F91368">
            <w:pPr>
              <w:contextualSpacing/>
              <w:rPr>
                <w:rFonts w:cs="Arial"/>
                <w:b/>
                <w:bCs/>
                <w:color w:val="000000"/>
                <w:sz w:val="18"/>
                <w:szCs w:val="18"/>
              </w:rPr>
            </w:pP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1</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Comunicación relacional – líder- colaborador y entre compañeros</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2</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Gerencia de familia- relaciones familiares</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3</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Organización del tiempo de Trabajo</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4</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 xml:space="preserve">Prevención de adicciones Informáticas </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5</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Taller Manejo de Estrés</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6</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Taller Manejo de Finanzas</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7</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Taller Trabajo en Equipo</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8</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Trabajo Emocional</w:t>
            </w:r>
          </w:p>
        </w:tc>
      </w:tr>
      <w:tr w:rsidR="0008674E" w:rsidRPr="00D505F6" w:rsidTr="0008674E">
        <w:trPr>
          <w:trHeight w:val="299"/>
          <w:jc w:val="center"/>
        </w:trPr>
        <w:tc>
          <w:tcPr>
            <w:tcW w:w="905" w:type="dxa"/>
            <w:shd w:val="clear" w:color="auto" w:fill="auto"/>
            <w:noWrap/>
            <w:vAlign w:val="center"/>
            <w:hideMark/>
          </w:tcPr>
          <w:p w:rsidR="0008674E" w:rsidRPr="00D505F6" w:rsidRDefault="0008674E" w:rsidP="00F91368">
            <w:pPr>
              <w:contextualSpacing/>
              <w:jc w:val="center"/>
              <w:rPr>
                <w:rFonts w:cs="Arial"/>
                <w:color w:val="000000"/>
                <w:sz w:val="18"/>
                <w:szCs w:val="18"/>
              </w:rPr>
            </w:pPr>
            <w:r w:rsidRPr="00D505F6">
              <w:rPr>
                <w:rFonts w:cs="Arial"/>
                <w:color w:val="000000"/>
                <w:sz w:val="18"/>
                <w:szCs w:val="18"/>
              </w:rPr>
              <w:t>9</w:t>
            </w:r>
          </w:p>
        </w:tc>
        <w:tc>
          <w:tcPr>
            <w:tcW w:w="6880" w:type="dxa"/>
            <w:shd w:val="clear" w:color="000000" w:fill="FFFFFF"/>
            <w:vAlign w:val="center"/>
            <w:hideMark/>
          </w:tcPr>
          <w:p w:rsidR="0008674E" w:rsidRPr="00D505F6" w:rsidRDefault="0008674E" w:rsidP="00F91368">
            <w:pPr>
              <w:contextualSpacing/>
              <w:rPr>
                <w:rFonts w:cs="Arial"/>
                <w:color w:val="000000"/>
                <w:sz w:val="18"/>
                <w:szCs w:val="18"/>
              </w:rPr>
            </w:pPr>
            <w:r w:rsidRPr="00D505F6">
              <w:rPr>
                <w:rFonts w:cs="Arial"/>
                <w:color w:val="000000"/>
                <w:sz w:val="18"/>
                <w:szCs w:val="18"/>
              </w:rPr>
              <w:t xml:space="preserve">Uso y abuso de sustancias psicoactivas </w:t>
            </w:r>
          </w:p>
        </w:tc>
      </w:tr>
    </w:tbl>
    <w:p w:rsidR="0008674E" w:rsidRDefault="0008674E" w:rsidP="00650E7C">
      <w:pPr>
        <w:autoSpaceDE w:val="0"/>
        <w:rPr>
          <w:rFonts w:cs="Arial"/>
          <w:sz w:val="22"/>
          <w:u w:val="single"/>
          <w:lang w:eastAsia="es-CO"/>
        </w:rPr>
      </w:pPr>
    </w:p>
    <w:p w:rsidR="00D505F6" w:rsidRDefault="00D505F6" w:rsidP="00650E7C">
      <w:pPr>
        <w:autoSpaceDE w:val="0"/>
        <w:rPr>
          <w:rFonts w:cs="Arial"/>
          <w:sz w:val="22"/>
          <w:u w:val="single"/>
          <w:lang w:eastAsia="es-CO"/>
        </w:rPr>
      </w:pPr>
    </w:p>
    <w:p w:rsidR="00BA6BEF" w:rsidRDefault="00BA6BEF" w:rsidP="00650E7C">
      <w:pPr>
        <w:autoSpaceDE w:val="0"/>
        <w:rPr>
          <w:rFonts w:cs="Arial"/>
          <w:sz w:val="22"/>
          <w:u w:val="single"/>
          <w:lang w:eastAsia="es-CO"/>
        </w:rPr>
      </w:pPr>
    </w:p>
    <w:p w:rsidR="00D505F6" w:rsidRDefault="00D505F6" w:rsidP="00650E7C">
      <w:pPr>
        <w:autoSpaceDE w:val="0"/>
        <w:rPr>
          <w:rFonts w:cs="Arial"/>
          <w:sz w:val="22"/>
          <w:u w:val="single"/>
          <w:lang w:eastAsia="es-CO"/>
        </w:rPr>
      </w:pPr>
    </w:p>
    <w:p w:rsidR="00D505F6" w:rsidRDefault="00D505F6" w:rsidP="00650E7C">
      <w:pPr>
        <w:autoSpaceDE w:val="0"/>
        <w:rPr>
          <w:rFonts w:cs="Arial"/>
          <w:sz w:val="22"/>
          <w:u w:val="single"/>
          <w:lang w:eastAsia="es-CO"/>
        </w:rPr>
      </w:pPr>
    </w:p>
    <w:p w:rsidR="00D505F6" w:rsidRDefault="00D505F6" w:rsidP="00650E7C">
      <w:pPr>
        <w:autoSpaceDE w:val="0"/>
        <w:rPr>
          <w:rFonts w:cs="Arial"/>
          <w:sz w:val="22"/>
          <w:u w:val="single"/>
          <w:lang w:eastAsia="es-CO"/>
        </w:rPr>
      </w:pPr>
    </w:p>
    <w:p w:rsidR="00D505F6" w:rsidRDefault="00D505F6" w:rsidP="00650E7C">
      <w:pPr>
        <w:autoSpaceDE w:val="0"/>
        <w:rPr>
          <w:rFonts w:cs="Arial"/>
          <w:sz w:val="22"/>
          <w:u w:val="single"/>
          <w:lang w:eastAsia="es-CO"/>
        </w:rPr>
      </w:pPr>
    </w:p>
    <w:p w:rsidR="00D505F6" w:rsidRDefault="00D505F6" w:rsidP="00650E7C">
      <w:pPr>
        <w:autoSpaceDE w:val="0"/>
        <w:rPr>
          <w:rFonts w:cs="Arial"/>
          <w:sz w:val="22"/>
          <w:u w:val="single"/>
          <w:lang w:eastAsia="es-CO"/>
        </w:rPr>
      </w:pPr>
    </w:p>
    <w:p w:rsidR="0008674E" w:rsidRPr="00753C27" w:rsidRDefault="0008674E" w:rsidP="00650E7C">
      <w:pPr>
        <w:autoSpaceDE w:val="0"/>
        <w:rPr>
          <w:rFonts w:cs="Arial"/>
          <w:b/>
          <w:sz w:val="22"/>
          <w:lang w:eastAsia="es-CO"/>
        </w:rPr>
      </w:pPr>
      <w:r w:rsidRPr="00753C27">
        <w:rPr>
          <w:rFonts w:cs="Arial"/>
          <w:b/>
          <w:sz w:val="22"/>
          <w:lang w:eastAsia="es-CO"/>
        </w:rPr>
        <w:lastRenderedPageBreak/>
        <w:t>Actividad física Bogotá</w:t>
      </w:r>
      <w:r w:rsidR="00574F36" w:rsidRPr="00753C27">
        <w:rPr>
          <w:rFonts w:cs="Arial"/>
          <w:b/>
          <w:sz w:val="22"/>
          <w:lang w:eastAsia="es-CO"/>
        </w:rPr>
        <w:t>:</w:t>
      </w:r>
    </w:p>
    <w:tbl>
      <w:tblPr>
        <w:tblpPr w:leftFromText="141" w:rightFromText="141" w:vertAnchor="page" w:horzAnchor="margin" w:tblpY="2311"/>
        <w:tblW w:w="8784" w:type="dxa"/>
        <w:tblCellMar>
          <w:left w:w="10" w:type="dxa"/>
          <w:right w:w="10" w:type="dxa"/>
        </w:tblCellMar>
        <w:tblLook w:val="0000" w:firstRow="0" w:lastRow="0" w:firstColumn="0" w:lastColumn="0" w:noHBand="0" w:noVBand="0"/>
      </w:tblPr>
      <w:tblGrid>
        <w:gridCol w:w="3936"/>
        <w:gridCol w:w="1836"/>
        <w:gridCol w:w="1453"/>
        <w:gridCol w:w="1559"/>
      </w:tblGrid>
      <w:tr w:rsidR="00C225BF" w:rsidRPr="00C225BF" w:rsidTr="00C225BF">
        <w:trPr>
          <w:trHeight w:val="667"/>
        </w:trPr>
        <w:tc>
          <w:tcPr>
            <w:tcW w:w="3936" w:type="dxa"/>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b/>
                <w:bCs/>
                <w:color w:val="000000"/>
                <w:sz w:val="12"/>
                <w:szCs w:val="20"/>
                <w:lang w:eastAsia="es-CO"/>
              </w:rPr>
            </w:pPr>
            <w:r w:rsidRPr="00C225BF">
              <w:rPr>
                <w:rFonts w:eastAsia="Times New Roman" w:cs="Arial"/>
                <w:b/>
                <w:bCs/>
                <w:color w:val="000000"/>
                <w:sz w:val="12"/>
                <w:szCs w:val="20"/>
                <w:lang w:eastAsia="es-CO"/>
              </w:rPr>
              <w:t>ACTIVIDAD</w:t>
            </w:r>
          </w:p>
        </w:tc>
        <w:tc>
          <w:tcPr>
            <w:tcW w:w="1836" w:type="dxa"/>
            <w:tcBorders>
              <w:top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b/>
                <w:bCs/>
                <w:color w:val="000000"/>
                <w:sz w:val="12"/>
                <w:szCs w:val="20"/>
                <w:lang w:eastAsia="es-CO"/>
              </w:rPr>
            </w:pPr>
            <w:r w:rsidRPr="00C225BF">
              <w:rPr>
                <w:rFonts w:eastAsia="Times New Roman" w:cs="Arial"/>
                <w:b/>
                <w:bCs/>
                <w:color w:val="000000"/>
                <w:sz w:val="12"/>
                <w:szCs w:val="20"/>
                <w:lang w:eastAsia="es-CO"/>
              </w:rPr>
              <w:t>DETALLE DE LA ACTIVIDAD</w:t>
            </w:r>
          </w:p>
        </w:tc>
        <w:tc>
          <w:tcPr>
            <w:tcW w:w="1453" w:type="dxa"/>
            <w:tcBorders>
              <w:top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b/>
                <w:bCs/>
                <w:color w:val="000000"/>
                <w:sz w:val="12"/>
                <w:szCs w:val="20"/>
                <w:lang w:eastAsia="es-CO"/>
              </w:rPr>
            </w:pPr>
            <w:r w:rsidRPr="00C225BF">
              <w:rPr>
                <w:rFonts w:eastAsia="Times New Roman" w:cs="Arial"/>
                <w:b/>
                <w:bCs/>
                <w:color w:val="000000"/>
                <w:sz w:val="12"/>
                <w:szCs w:val="20"/>
                <w:lang w:eastAsia="es-CO"/>
              </w:rPr>
              <w:t xml:space="preserve">No. EMPLEADOS PÚBLICOS </w:t>
            </w:r>
          </w:p>
        </w:tc>
        <w:tc>
          <w:tcPr>
            <w:tcW w:w="1559" w:type="dxa"/>
            <w:tcBorders>
              <w:top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b/>
                <w:bCs/>
                <w:color w:val="000000"/>
                <w:sz w:val="12"/>
                <w:szCs w:val="20"/>
                <w:lang w:eastAsia="es-CO"/>
              </w:rPr>
            </w:pPr>
            <w:r w:rsidRPr="00C225BF">
              <w:rPr>
                <w:rFonts w:eastAsia="Times New Roman" w:cs="Arial"/>
                <w:b/>
                <w:bCs/>
                <w:color w:val="000000"/>
                <w:sz w:val="12"/>
                <w:szCs w:val="20"/>
                <w:lang w:eastAsia="es-CO"/>
              </w:rPr>
              <w:t>NUMERO DE HORAS REALIZADAS</w:t>
            </w:r>
          </w:p>
        </w:tc>
      </w:tr>
      <w:tr w:rsidR="00C225BF" w:rsidRPr="00C225BF" w:rsidTr="00C225BF">
        <w:trPr>
          <w:trHeight w:val="872"/>
        </w:trPr>
        <w:tc>
          <w:tcPr>
            <w:tcW w:w="3936" w:type="dxa"/>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rPr>
                <w:rFonts w:eastAsia="Times New Roman" w:cs="Arial"/>
                <w:bCs/>
                <w:color w:val="000000"/>
                <w:sz w:val="14"/>
                <w:szCs w:val="14"/>
                <w:lang w:eastAsia="es-CO"/>
              </w:rPr>
            </w:pPr>
            <w:r w:rsidRPr="00C225BF">
              <w:rPr>
                <w:rFonts w:eastAsia="Times New Roman" w:cs="Arial"/>
                <w:bCs/>
                <w:color w:val="000000"/>
                <w:sz w:val="14"/>
                <w:szCs w:val="14"/>
                <w:lang w:eastAsia="es-CO"/>
              </w:rPr>
              <w:t>1, clases enfocadas a la fuerza y estabilidad</w:t>
            </w:r>
          </w:p>
          <w:p w:rsidR="00C225BF" w:rsidRPr="00C225BF" w:rsidRDefault="00C225BF" w:rsidP="00C225BF">
            <w:pPr>
              <w:contextualSpacing/>
              <w:rPr>
                <w:rFonts w:eastAsia="Times New Roman" w:cs="Arial"/>
                <w:bCs/>
                <w:color w:val="000000"/>
                <w:sz w:val="14"/>
                <w:szCs w:val="14"/>
                <w:lang w:eastAsia="es-CO"/>
              </w:rPr>
            </w:pPr>
            <w:r w:rsidRPr="00C225BF">
              <w:rPr>
                <w:rFonts w:eastAsia="Times New Roman" w:cs="Arial"/>
                <w:bCs/>
                <w:color w:val="000000"/>
                <w:sz w:val="14"/>
                <w:szCs w:val="14"/>
                <w:lang w:eastAsia="es-CO"/>
              </w:rPr>
              <w:t>2, clases aeróbicas</w:t>
            </w:r>
          </w:p>
          <w:p w:rsidR="00C225BF" w:rsidRPr="00C225BF" w:rsidRDefault="00C225BF" w:rsidP="00C225BF">
            <w:pPr>
              <w:contextualSpacing/>
              <w:rPr>
                <w:rFonts w:eastAsia="Times New Roman" w:cs="Arial"/>
                <w:b/>
                <w:bCs/>
                <w:color w:val="000000"/>
                <w:sz w:val="14"/>
                <w:szCs w:val="14"/>
                <w:lang w:eastAsia="es-CO"/>
              </w:rPr>
            </w:pPr>
            <w:r w:rsidRPr="00C225BF">
              <w:rPr>
                <w:rFonts w:eastAsia="Times New Roman" w:cs="Arial"/>
                <w:bCs/>
                <w:color w:val="000000"/>
                <w:sz w:val="14"/>
                <w:szCs w:val="14"/>
                <w:lang w:eastAsia="es-CO"/>
              </w:rPr>
              <w:t>3, clases enfocadas a la movilidad y relajación</w:t>
            </w:r>
          </w:p>
        </w:tc>
        <w:tc>
          <w:tcPr>
            <w:tcW w:w="1836" w:type="dxa"/>
            <w:tcBorders>
              <w:top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color w:val="000000"/>
                <w:sz w:val="14"/>
                <w:szCs w:val="14"/>
                <w:lang w:eastAsia="es-CO"/>
              </w:rPr>
            </w:pPr>
            <w:r w:rsidRPr="00C225BF">
              <w:rPr>
                <w:rFonts w:eastAsia="Times New Roman" w:cs="Arial"/>
                <w:color w:val="000000"/>
                <w:sz w:val="14"/>
                <w:szCs w:val="14"/>
                <w:lang w:eastAsia="es-CO"/>
              </w:rPr>
              <w:t>Pilates, Rumba Tropical Folclórica y yoga</w:t>
            </w:r>
          </w:p>
        </w:tc>
        <w:tc>
          <w:tcPr>
            <w:tcW w:w="1453" w:type="dxa"/>
            <w:tcBorders>
              <w:top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b/>
                <w:bCs/>
                <w:color w:val="000000"/>
                <w:sz w:val="14"/>
                <w:szCs w:val="14"/>
                <w:lang w:eastAsia="es-CO"/>
              </w:rPr>
            </w:pPr>
            <w:r w:rsidRPr="00C225BF">
              <w:rPr>
                <w:rFonts w:eastAsia="Times New Roman" w:cs="Arial"/>
                <w:b/>
                <w:bCs/>
                <w:color w:val="000000"/>
                <w:sz w:val="14"/>
                <w:szCs w:val="14"/>
                <w:lang w:eastAsia="es-CO"/>
              </w:rPr>
              <w:t>146</w:t>
            </w:r>
          </w:p>
        </w:tc>
        <w:tc>
          <w:tcPr>
            <w:tcW w:w="1559" w:type="dxa"/>
            <w:tcBorders>
              <w:top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tcPr>
          <w:p w:rsidR="00C225BF" w:rsidRPr="00C225BF" w:rsidRDefault="00C225BF" w:rsidP="00C225BF">
            <w:pPr>
              <w:contextualSpacing/>
              <w:jc w:val="center"/>
              <w:rPr>
                <w:rFonts w:eastAsia="Times New Roman" w:cs="Arial"/>
                <w:b/>
                <w:bCs/>
                <w:color w:val="000000"/>
                <w:sz w:val="14"/>
                <w:szCs w:val="14"/>
                <w:lang w:eastAsia="es-CO"/>
              </w:rPr>
            </w:pPr>
            <w:r w:rsidRPr="00C225BF">
              <w:rPr>
                <w:rFonts w:eastAsia="Times New Roman" w:cs="Arial"/>
                <w:b/>
                <w:bCs/>
                <w:color w:val="000000"/>
                <w:sz w:val="14"/>
                <w:szCs w:val="14"/>
                <w:lang w:eastAsia="es-CO"/>
              </w:rPr>
              <w:t>171</w:t>
            </w:r>
          </w:p>
        </w:tc>
      </w:tr>
    </w:tbl>
    <w:tbl>
      <w:tblPr>
        <w:tblStyle w:val="Tablaconcuadrcula"/>
        <w:tblpPr w:leftFromText="141" w:rightFromText="141" w:vertAnchor="page" w:horzAnchor="margin" w:tblpXSpec="center" w:tblpY="4156"/>
        <w:tblW w:w="4248" w:type="dxa"/>
        <w:tblLayout w:type="fixed"/>
        <w:tblLook w:val="04A0" w:firstRow="1" w:lastRow="0" w:firstColumn="1" w:lastColumn="0" w:noHBand="0" w:noVBand="1"/>
      </w:tblPr>
      <w:tblGrid>
        <w:gridCol w:w="709"/>
        <w:gridCol w:w="1701"/>
        <w:gridCol w:w="1838"/>
      </w:tblGrid>
      <w:tr w:rsidR="00C225BF" w:rsidRPr="00574F36" w:rsidTr="00C225BF">
        <w:tc>
          <w:tcPr>
            <w:tcW w:w="709" w:type="dxa"/>
            <w:vAlign w:val="center"/>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N°</w:t>
            </w:r>
          </w:p>
        </w:tc>
        <w:tc>
          <w:tcPr>
            <w:tcW w:w="1701" w:type="dxa"/>
            <w:vAlign w:val="center"/>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ACTIVIDAD</w:t>
            </w:r>
          </w:p>
        </w:tc>
        <w:tc>
          <w:tcPr>
            <w:tcW w:w="1838" w:type="dxa"/>
            <w:vAlign w:val="center"/>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PARTICIPANTES</w:t>
            </w:r>
          </w:p>
        </w:tc>
      </w:tr>
      <w:tr w:rsidR="00C225BF" w:rsidRPr="00574F36" w:rsidTr="00C225BF">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1</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Tenis de mesa</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20</w:t>
            </w:r>
          </w:p>
        </w:tc>
      </w:tr>
      <w:tr w:rsidR="00C225BF" w:rsidRPr="00574F36" w:rsidTr="00C225BF">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2</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Mini - tejo</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12</w:t>
            </w:r>
          </w:p>
        </w:tc>
      </w:tr>
      <w:tr w:rsidR="00C225BF" w:rsidRPr="00574F36" w:rsidTr="00C225BF">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3</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Futbol tenis</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11</w:t>
            </w:r>
          </w:p>
        </w:tc>
      </w:tr>
      <w:tr w:rsidR="00C225BF" w:rsidRPr="00574F36" w:rsidTr="00C225BF">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4</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Baloncesto</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25</w:t>
            </w:r>
          </w:p>
        </w:tc>
      </w:tr>
      <w:tr w:rsidR="00C225BF" w:rsidRPr="00574F36" w:rsidTr="00C225BF">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5</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Tenis de campo</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5</w:t>
            </w:r>
          </w:p>
        </w:tc>
      </w:tr>
      <w:tr w:rsidR="00C225BF" w:rsidRPr="00574F36" w:rsidTr="00C225BF">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6</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Voleibol</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20</w:t>
            </w:r>
          </w:p>
        </w:tc>
      </w:tr>
      <w:tr w:rsidR="00C225BF" w:rsidRPr="00574F36" w:rsidTr="00C225BF">
        <w:trPr>
          <w:trHeight w:val="341"/>
        </w:trPr>
        <w:tc>
          <w:tcPr>
            <w:tcW w:w="709"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7</w:t>
            </w:r>
          </w:p>
        </w:tc>
        <w:tc>
          <w:tcPr>
            <w:tcW w:w="1701" w:type="dxa"/>
          </w:tcPr>
          <w:p w:rsidR="00C225BF" w:rsidRPr="00574F36" w:rsidRDefault="00C225BF" w:rsidP="00C225BF">
            <w:pPr>
              <w:suppressAutoHyphens/>
              <w:autoSpaceDE w:val="0"/>
              <w:contextualSpacing/>
              <w:rPr>
                <w:rFonts w:eastAsia="Times New Roman" w:cs="Arial"/>
                <w:color w:val="000000"/>
                <w:sz w:val="20"/>
                <w:szCs w:val="20"/>
                <w:lang w:eastAsia="es-CO"/>
              </w:rPr>
            </w:pPr>
            <w:r w:rsidRPr="00574F36">
              <w:rPr>
                <w:rFonts w:eastAsia="Times New Roman" w:cs="Arial"/>
                <w:color w:val="000000"/>
                <w:sz w:val="20"/>
                <w:szCs w:val="20"/>
                <w:lang w:eastAsia="es-CO"/>
              </w:rPr>
              <w:t>Natación</w:t>
            </w:r>
          </w:p>
        </w:tc>
        <w:tc>
          <w:tcPr>
            <w:tcW w:w="1838" w:type="dxa"/>
          </w:tcPr>
          <w:p w:rsidR="00C225BF" w:rsidRPr="00574F36" w:rsidRDefault="00C225BF" w:rsidP="00C225BF">
            <w:pPr>
              <w:suppressAutoHyphens/>
              <w:autoSpaceDE w:val="0"/>
              <w:contextualSpacing/>
              <w:jc w:val="center"/>
              <w:rPr>
                <w:rFonts w:eastAsia="Times New Roman" w:cs="Arial"/>
                <w:color w:val="000000"/>
                <w:sz w:val="20"/>
                <w:szCs w:val="20"/>
                <w:lang w:eastAsia="es-CO"/>
              </w:rPr>
            </w:pPr>
            <w:r w:rsidRPr="00574F36">
              <w:rPr>
                <w:rFonts w:eastAsia="Times New Roman" w:cs="Arial"/>
                <w:color w:val="000000"/>
                <w:sz w:val="20"/>
                <w:szCs w:val="20"/>
                <w:lang w:eastAsia="es-CO"/>
              </w:rPr>
              <w:t>54</w:t>
            </w:r>
          </w:p>
        </w:tc>
      </w:tr>
    </w:tbl>
    <w:p w:rsidR="00D505F6" w:rsidRDefault="00D505F6" w:rsidP="00650E7C">
      <w:pPr>
        <w:autoSpaceDE w:val="0"/>
        <w:rPr>
          <w:rFonts w:cs="Arial"/>
          <w:sz w:val="22"/>
          <w:u w:val="single"/>
          <w:lang w:eastAsia="es-CO"/>
        </w:rPr>
      </w:pPr>
    </w:p>
    <w:p w:rsidR="00574F36" w:rsidRPr="0008674E" w:rsidRDefault="00574F36" w:rsidP="0008674E">
      <w:pPr>
        <w:autoSpaceDE w:val="0"/>
        <w:rPr>
          <w:rFonts w:cs="Arial"/>
          <w:sz w:val="22"/>
          <w:lang w:eastAsia="es-CO"/>
        </w:rPr>
      </w:pPr>
    </w:p>
    <w:p w:rsidR="00574F36" w:rsidRPr="00BA6BEF" w:rsidRDefault="00574F36" w:rsidP="00EA6BEB">
      <w:pPr>
        <w:pStyle w:val="Ttulo2"/>
      </w:pPr>
      <w:bookmarkStart w:id="153" w:name="_Toc473412381"/>
      <w:bookmarkStart w:id="154" w:name="_Toc473412531"/>
    </w:p>
    <w:p w:rsidR="00574F36" w:rsidRDefault="00574F36" w:rsidP="00574F36">
      <w:pPr>
        <w:rPr>
          <w:lang w:eastAsia="es-CO"/>
        </w:rPr>
      </w:pPr>
    </w:p>
    <w:p w:rsidR="00574F36" w:rsidRDefault="00574F36" w:rsidP="00574F36">
      <w:pPr>
        <w:rPr>
          <w:lang w:eastAsia="es-CO"/>
        </w:rPr>
      </w:pPr>
    </w:p>
    <w:p w:rsidR="00574F36" w:rsidRDefault="00574F36" w:rsidP="00574F36">
      <w:pPr>
        <w:rPr>
          <w:lang w:eastAsia="es-CO"/>
        </w:rPr>
      </w:pPr>
    </w:p>
    <w:p w:rsidR="00574F36" w:rsidRDefault="00574F36" w:rsidP="00574F36">
      <w:pPr>
        <w:rPr>
          <w:lang w:eastAsia="es-CO"/>
        </w:rPr>
      </w:pPr>
    </w:p>
    <w:p w:rsidR="00574F36" w:rsidRDefault="00574F36" w:rsidP="00574F36">
      <w:pPr>
        <w:rPr>
          <w:lang w:eastAsia="es-CO"/>
        </w:rPr>
      </w:pPr>
    </w:p>
    <w:p w:rsidR="00574F36" w:rsidRPr="00C225BF" w:rsidRDefault="00574F36" w:rsidP="00574F36">
      <w:pPr>
        <w:rPr>
          <w:sz w:val="18"/>
          <w:lang w:eastAsia="es-CO"/>
        </w:rPr>
      </w:pPr>
    </w:p>
    <w:p w:rsidR="00574F36" w:rsidRPr="00753C27" w:rsidRDefault="00574F36" w:rsidP="00574F36">
      <w:pPr>
        <w:autoSpaceDE w:val="0"/>
        <w:rPr>
          <w:rFonts w:cs="Arial"/>
          <w:b/>
          <w:sz w:val="22"/>
          <w:lang w:eastAsia="es-CO"/>
        </w:rPr>
      </w:pPr>
      <w:r w:rsidRPr="00753C27">
        <w:rPr>
          <w:rFonts w:cs="Arial"/>
          <w:b/>
          <w:sz w:val="22"/>
          <w:lang w:eastAsia="es-CO"/>
        </w:rPr>
        <w:t xml:space="preserve">Actividad </w:t>
      </w:r>
      <w:r w:rsidR="00095425" w:rsidRPr="00753C27">
        <w:rPr>
          <w:rFonts w:cs="Arial"/>
          <w:b/>
          <w:sz w:val="22"/>
          <w:lang w:eastAsia="es-CO"/>
        </w:rPr>
        <w:t>ARL</w:t>
      </w:r>
      <w:r w:rsidRPr="00753C27">
        <w:rPr>
          <w:rFonts w:cs="Arial"/>
          <w:b/>
          <w:sz w:val="22"/>
          <w:lang w:eastAsia="es-CO"/>
        </w:rPr>
        <w:t>:</w:t>
      </w:r>
    </w:p>
    <w:p w:rsidR="00574F36" w:rsidRPr="00C225BF" w:rsidRDefault="00574F36" w:rsidP="00574F36">
      <w:pPr>
        <w:rPr>
          <w:sz w:val="16"/>
          <w:lang w:eastAsia="es-CO"/>
        </w:rPr>
      </w:pPr>
    </w:p>
    <w:tbl>
      <w:tblPr>
        <w:tblW w:w="7900" w:type="dxa"/>
        <w:jc w:val="center"/>
        <w:tblCellMar>
          <w:left w:w="10" w:type="dxa"/>
          <w:right w:w="10" w:type="dxa"/>
        </w:tblCellMar>
        <w:tblLook w:val="0000" w:firstRow="0" w:lastRow="0" w:firstColumn="0" w:lastColumn="0" w:noHBand="0" w:noVBand="0"/>
      </w:tblPr>
      <w:tblGrid>
        <w:gridCol w:w="3950"/>
        <w:gridCol w:w="3950"/>
      </w:tblGrid>
      <w:tr w:rsidR="00095425" w:rsidRPr="00C225BF" w:rsidTr="00F91368">
        <w:trPr>
          <w:trHeight w:val="470"/>
          <w:jc w:val="center"/>
        </w:trPr>
        <w:tc>
          <w:tcPr>
            <w:tcW w:w="7900" w:type="dxa"/>
            <w:gridSpan w:val="2"/>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095425" w:rsidRPr="00C225BF" w:rsidRDefault="00095425" w:rsidP="00F91368">
            <w:pPr>
              <w:autoSpaceDE w:val="0"/>
              <w:autoSpaceDN w:val="0"/>
              <w:ind w:left="709"/>
              <w:contextualSpacing/>
              <w:jc w:val="center"/>
              <w:rPr>
                <w:rFonts w:eastAsia="Calibri" w:cs="Arial"/>
                <w:b/>
                <w:color w:val="000000"/>
                <w:sz w:val="16"/>
                <w:szCs w:val="18"/>
              </w:rPr>
            </w:pPr>
            <w:r w:rsidRPr="00C225BF">
              <w:rPr>
                <w:rFonts w:eastAsia="Calibri" w:cs="Arial"/>
                <w:b/>
                <w:color w:val="000000"/>
                <w:sz w:val="16"/>
                <w:szCs w:val="18"/>
              </w:rPr>
              <w:t>Actividades realizadas por la ARL Positiva dentro del Plan de Trabajo Anual de Seguridad y Salud en el Trabajo:</w:t>
            </w:r>
          </w:p>
        </w:tc>
      </w:tr>
      <w:tr w:rsidR="00095425" w:rsidRPr="00C225BF" w:rsidTr="00F91368">
        <w:trPr>
          <w:trHeight w:val="342"/>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095425" w:rsidRPr="00C225BF" w:rsidRDefault="00095425" w:rsidP="00F91368">
            <w:pPr>
              <w:autoSpaceDE w:val="0"/>
              <w:autoSpaceDN w:val="0"/>
              <w:contextualSpacing/>
              <w:jc w:val="center"/>
              <w:rPr>
                <w:rFonts w:eastAsia="Calibri" w:cs="Arial"/>
                <w:b/>
                <w:color w:val="000000"/>
                <w:sz w:val="16"/>
                <w:szCs w:val="18"/>
              </w:rPr>
            </w:pPr>
            <w:r w:rsidRPr="00C225BF">
              <w:rPr>
                <w:rFonts w:eastAsia="Calibri" w:cs="Arial"/>
                <w:b/>
                <w:bCs/>
                <w:sz w:val="16"/>
                <w:szCs w:val="18"/>
              </w:rPr>
              <w:t>NACIONAL</w:t>
            </w:r>
          </w:p>
        </w:tc>
        <w:tc>
          <w:tcPr>
            <w:tcW w:w="3950"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rsidR="00095425" w:rsidRPr="00C225BF" w:rsidRDefault="00095425" w:rsidP="00F91368">
            <w:pPr>
              <w:autoSpaceDE w:val="0"/>
              <w:autoSpaceDN w:val="0"/>
              <w:contextualSpacing/>
              <w:jc w:val="center"/>
              <w:rPr>
                <w:rFonts w:eastAsia="Calibri" w:cs="Arial"/>
                <w:b/>
                <w:color w:val="000000"/>
                <w:sz w:val="16"/>
                <w:szCs w:val="18"/>
              </w:rPr>
            </w:pPr>
            <w:r w:rsidRPr="00C225BF">
              <w:rPr>
                <w:rFonts w:eastAsia="Calibri" w:cs="Arial"/>
                <w:b/>
                <w:bCs/>
                <w:sz w:val="16"/>
                <w:szCs w:val="18"/>
              </w:rPr>
              <w:t>BOGOTÁ D.C.</w:t>
            </w:r>
          </w:p>
        </w:tc>
      </w:tr>
      <w:tr w:rsidR="00095425" w:rsidRPr="00C225BF" w:rsidTr="00C225BF">
        <w:trPr>
          <w:trHeight w:val="4861"/>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425" w:rsidRPr="00C225BF" w:rsidRDefault="00095425" w:rsidP="00442CAC">
            <w:pPr>
              <w:numPr>
                <w:ilvl w:val="0"/>
                <w:numId w:val="66"/>
              </w:numPr>
              <w:autoSpaceDE w:val="0"/>
              <w:autoSpaceDN w:val="0"/>
              <w:ind w:left="176" w:hanging="176"/>
              <w:contextualSpacing/>
              <w:jc w:val="left"/>
              <w:rPr>
                <w:rFonts w:eastAsia="Calibri" w:cs="Arial"/>
                <w:sz w:val="16"/>
                <w:szCs w:val="18"/>
              </w:rPr>
            </w:pPr>
            <w:r w:rsidRPr="00C225BF">
              <w:rPr>
                <w:rFonts w:eastAsia="Calibri" w:cs="Arial"/>
                <w:sz w:val="16"/>
                <w:szCs w:val="18"/>
              </w:rPr>
              <w:t>Asistencia y/o Asesoría para el desarrollo e implementación del PLAN DE TRABAJO ANUAL.</w:t>
            </w:r>
          </w:p>
          <w:p w:rsidR="00095425" w:rsidRPr="00C225BF" w:rsidRDefault="00095425" w:rsidP="00442CAC">
            <w:pPr>
              <w:numPr>
                <w:ilvl w:val="0"/>
                <w:numId w:val="66"/>
              </w:numPr>
              <w:autoSpaceDE w:val="0"/>
              <w:autoSpaceDN w:val="0"/>
              <w:ind w:left="176" w:hanging="176"/>
              <w:contextualSpacing/>
              <w:jc w:val="left"/>
              <w:rPr>
                <w:rFonts w:eastAsia="Calibri" w:cs="Arial"/>
                <w:sz w:val="16"/>
                <w:szCs w:val="18"/>
              </w:rPr>
            </w:pPr>
            <w:r w:rsidRPr="00C225BF">
              <w:rPr>
                <w:rFonts w:eastAsia="Calibri" w:cs="Arial"/>
                <w:sz w:val="16"/>
                <w:szCs w:val="18"/>
              </w:rPr>
              <w:t>Formación Líder en fundamentos del sistema de gestión en seguridad y salud en el trabajo</w:t>
            </w:r>
          </w:p>
          <w:p w:rsidR="00095425" w:rsidRPr="00C225BF" w:rsidRDefault="00095425" w:rsidP="00442CAC">
            <w:pPr>
              <w:numPr>
                <w:ilvl w:val="0"/>
                <w:numId w:val="66"/>
              </w:numPr>
              <w:autoSpaceDE w:val="0"/>
              <w:autoSpaceDN w:val="0"/>
              <w:ind w:left="176" w:hanging="176"/>
              <w:contextualSpacing/>
              <w:jc w:val="left"/>
              <w:rPr>
                <w:rFonts w:eastAsia="Calibri" w:cs="Arial"/>
                <w:sz w:val="16"/>
                <w:szCs w:val="18"/>
              </w:rPr>
            </w:pPr>
            <w:r w:rsidRPr="00C225BF">
              <w:rPr>
                <w:rFonts w:eastAsia="Calibri" w:cs="Arial"/>
                <w:sz w:val="16"/>
                <w:szCs w:val="18"/>
              </w:rPr>
              <w:t>Visitas de inspección y elaboración de informes de matrices de riesgos y peligros</w:t>
            </w:r>
          </w:p>
          <w:p w:rsidR="00095425" w:rsidRPr="00C225BF" w:rsidRDefault="00095425" w:rsidP="00442CAC">
            <w:pPr>
              <w:numPr>
                <w:ilvl w:val="0"/>
                <w:numId w:val="66"/>
              </w:numPr>
              <w:autoSpaceDE w:val="0"/>
              <w:autoSpaceDN w:val="0"/>
              <w:ind w:left="176" w:hanging="176"/>
              <w:contextualSpacing/>
              <w:jc w:val="left"/>
              <w:rPr>
                <w:rFonts w:eastAsia="Calibri" w:cs="Arial"/>
                <w:sz w:val="16"/>
                <w:szCs w:val="18"/>
              </w:rPr>
            </w:pPr>
            <w:r w:rsidRPr="00C225BF">
              <w:rPr>
                <w:rFonts w:eastAsia="Calibri" w:cs="Arial"/>
                <w:sz w:val="16"/>
                <w:szCs w:val="18"/>
              </w:rPr>
              <w:t>Asistencia y/o Asesoría en el desarrollo del plan de atención y preparación de emergencias - Incluye informe</w:t>
            </w:r>
          </w:p>
          <w:p w:rsidR="00095425" w:rsidRPr="00C225BF" w:rsidRDefault="00095425" w:rsidP="00442CAC">
            <w:pPr>
              <w:numPr>
                <w:ilvl w:val="0"/>
                <w:numId w:val="66"/>
              </w:numPr>
              <w:autoSpaceDE w:val="0"/>
              <w:autoSpaceDN w:val="0"/>
              <w:ind w:left="176" w:hanging="176"/>
              <w:contextualSpacing/>
              <w:jc w:val="left"/>
              <w:rPr>
                <w:rFonts w:eastAsia="Calibri" w:cs="Arial"/>
                <w:sz w:val="16"/>
                <w:szCs w:val="18"/>
              </w:rPr>
            </w:pPr>
            <w:r w:rsidRPr="00C225BF">
              <w:rPr>
                <w:rFonts w:eastAsia="Calibri" w:cs="Arial"/>
                <w:sz w:val="16"/>
                <w:szCs w:val="18"/>
              </w:rPr>
              <w:t>Aplicación encuesta, captura de datos, tabulación e informe de los factores de riesgo psicosocial en las Direcciones Territoriales e Inspecciones Fluviales</w:t>
            </w:r>
          </w:p>
          <w:p w:rsidR="00095425" w:rsidRPr="00C225BF" w:rsidRDefault="00095425" w:rsidP="00442CAC">
            <w:pPr>
              <w:numPr>
                <w:ilvl w:val="0"/>
                <w:numId w:val="66"/>
              </w:numPr>
              <w:autoSpaceDE w:val="0"/>
              <w:autoSpaceDN w:val="0"/>
              <w:ind w:left="176" w:hanging="176"/>
              <w:contextualSpacing/>
              <w:jc w:val="left"/>
              <w:rPr>
                <w:rFonts w:eastAsia="Calibri" w:cs="Arial"/>
                <w:sz w:val="16"/>
                <w:szCs w:val="18"/>
              </w:rPr>
            </w:pPr>
            <w:r w:rsidRPr="00C225BF">
              <w:rPr>
                <w:rFonts w:eastAsia="Calibri" w:cs="Arial"/>
                <w:sz w:val="16"/>
                <w:szCs w:val="18"/>
              </w:rPr>
              <w:t>Intervención de las factores de riesgo biomecánico</w:t>
            </w:r>
          </w:p>
          <w:p w:rsidR="00095425" w:rsidRPr="00C225BF" w:rsidRDefault="00095425" w:rsidP="00442CAC">
            <w:pPr>
              <w:numPr>
                <w:ilvl w:val="0"/>
                <w:numId w:val="66"/>
              </w:numPr>
              <w:autoSpaceDE w:val="0"/>
              <w:autoSpaceDN w:val="0"/>
              <w:ind w:left="176" w:hanging="176"/>
              <w:contextualSpacing/>
              <w:jc w:val="left"/>
              <w:rPr>
                <w:rFonts w:eastAsia="Calibri" w:cs="Arial"/>
                <w:color w:val="000000"/>
                <w:sz w:val="16"/>
                <w:szCs w:val="18"/>
              </w:rPr>
            </w:pPr>
            <w:r w:rsidRPr="00C225BF">
              <w:rPr>
                <w:rFonts w:eastAsia="Calibri" w:cs="Arial"/>
                <w:sz w:val="16"/>
                <w:szCs w:val="18"/>
              </w:rPr>
              <w:t>Veeduría en el simulacro de emergencias</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5425" w:rsidRPr="00C225BF" w:rsidRDefault="00095425" w:rsidP="00442CAC">
            <w:pPr>
              <w:numPr>
                <w:ilvl w:val="0"/>
                <w:numId w:val="67"/>
              </w:numPr>
              <w:autoSpaceDE w:val="0"/>
              <w:autoSpaceDN w:val="0"/>
              <w:ind w:left="222" w:hanging="284"/>
              <w:contextualSpacing/>
              <w:jc w:val="left"/>
              <w:rPr>
                <w:rFonts w:eastAsia="Calibri" w:cs="Arial"/>
                <w:sz w:val="16"/>
                <w:szCs w:val="18"/>
              </w:rPr>
            </w:pPr>
            <w:r w:rsidRPr="00C225BF">
              <w:rPr>
                <w:rFonts w:eastAsia="Calibri" w:cs="Arial"/>
                <w:sz w:val="16"/>
                <w:szCs w:val="18"/>
              </w:rPr>
              <w:t>Capacitación de la Brigada de emergencia en temas relacionados con primer respondiente, extinción de incendios, primeros auxilios, transporte de lesionados, sismo y evacuación.</w:t>
            </w:r>
          </w:p>
          <w:p w:rsidR="00095425" w:rsidRPr="00C225BF" w:rsidRDefault="00095425" w:rsidP="00442CAC">
            <w:pPr>
              <w:numPr>
                <w:ilvl w:val="0"/>
                <w:numId w:val="67"/>
              </w:numPr>
              <w:autoSpaceDE w:val="0"/>
              <w:autoSpaceDN w:val="0"/>
              <w:ind w:left="222" w:hanging="284"/>
              <w:contextualSpacing/>
              <w:jc w:val="left"/>
              <w:rPr>
                <w:rFonts w:eastAsia="Calibri" w:cs="Arial"/>
                <w:sz w:val="16"/>
                <w:szCs w:val="18"/>
              </w:rPr>
            </w:pPr>
            <w:r w:rsidRPr="00C225BF">
              <w:rPr>
                <w:rFonts w:eastAsia="Calibri" w:cs="Arial"/>
                <w:sz w:val="16"/>
                <w:szCs w:val="18"/>
              </w:rPr>
              <w:t>Actividad vivencial para el entrenamiento de brigadas en primeros auxilios empresariales</w:t>
            </w:r>
          </w:p>
          <w:p w:rsidR="00095425" w:rsidRPr="00C225BF" w:rsidRDefault="00095425" w:rsidP="00442CAC">
            <w:pPr>
              <w:numPr>
                <w:ilvl w:val="0"/>
                <w:numId w:val="67"/>
              </w:numPr>
              <w:autoSpaceDE w:val="0"/>
              <w:autoSpaceDN w:val="0"/>
              <w:ind w:left="222" w:hanging="284"/>
              <w:contextualSpacing/>
              <w:jc w:val="left"/>
              <w:rPr>
                <w:rFonts w:eastAsia="Calibri" w:cs="Arial"/>
                <w:sz w:val="16"/>
                <w:szCs w:val="18"/>
              </w:rPr>
            </w:pPr>
            <w:r w:rsidRPr="00C225BF">
              <w:rPr>
                <w:rFonts w:eastAsia="Calibri" w:cs="Arial"/>
                <w:sz w:val="16"/>
                <w:szCs w:val="18"/>
              </w:rPr>
              <w:t>Estudio de señalización en las sedes de planta central, archivo central y sede de capacitación y deportes</w:t>
            </w:r>
          </w:p>
          <w:p w:rsidR="00095425" w:rsidRPr="00C225BF" w:rsidRDefault="00095425" w:rsidP="00442CAC">
            <w:pPr>
              <w:numPr>
                <w:ilvl w:val="0"/>
                <w:numId w:val="67"/>
              </w:numPr>
              <w:autoSpaceDE w:val="0"/>
              <w:autoSpaceDN w:val="0"/>
              <w:ind w:left="222" w:hanging="284"/>
              <w:contextualSpacing/>
              <w:jc w:val="left"/>
              <w:rPr>
                <w:rFonts w:eastAsia="Calibri" w:cs="Arial"/>
                <w:sz w:val="16"/>
                <w:szCs w:val="18"/>
              </w:rPr>
            </w:pPr>
            <w:r w:rsidRPr="00C225BF">
              <w:rPr>
                <w:rFonts w:eastAsia="Calibri" w:cs="Arial"/>
                <w:sz w:val="16"/>
                <w:szCs w:val="18"/>
              </w:rPr>
              <w:t>Capacitación al COPASST</w:t>
            </w:r>
          </w:p>
          <w:p w:rsidR="00095425" w:rsidRPr="00C225BF" w:rsidRDefault="00095425" w:rsidP="00442CAC">
            <w:pPr>
              <w:numPr>
                <w:ilvl w:val="0"/>
                <w:numId w:val="67"/>
              </w:numPr>
              <w:autoSpaceDE w:val="0"/>
              <w:autoSpaceDN w:val="0"/>
              <w:ind w:left="222" w:hanging="284"/>
              <w:contextualSpacing/>
              <w:jc w:val="left"/>
              <w:rPr>
                <w:rFonts w:eastAsia="Calibri" w:cs="Arial"/>
                <w:sz w:val="16"/>
                <w:szCs w:val="18"/>
              </w:rPr>
            </w:pPr>
            <w:r w:rsidRPr="00C225BF">
              <w:rPr>
                <w:rFonts w:eastAsia="Calibri" w:cs="Arial"/>
                <w:sz w:val="16"/>
                <w:szCs w:val="18"/>
              </w:rPr>
              <w:t>Capacitación al Comité de Convivencia</w:t>
            </w:r>
          </w:p>
          <w:p w:rsidR="00095425" w:rsidRPr="00C225BF" w:rsidRDefault="00095425" w:rsidP="00442CAC">
            <w:pPr>
              <w:numPr>
                <w:ilvl w:val="0"/>
                <w:numId w:val="67"/>
              </w:numPr>
              <w:autoSpaceDE w:val="0"/>
              <w:autoSpaceDN w:val="0"/>
              <w:ind w:left="222" w:hanging="284"/>
              <w:contextualSpacing/>
              <w:jc w:val="left"/>
              <w:rPr>
                <w:rFonts w:eastAsia="Calibri" w:cs="Arial"/>
                <w:sz w:val="16"/>
                <w:szCs w:val="18"/>
              </w:rPr>
            </w:pPr>
            <w:r w:rsidRPr="00C225BF">
              <w:rPr>
                <w:rFonts w:eastAsia="Calibri" w:cs="Arial"/>
                <w:sz w:val="16"/>
                <w:szCs w:val="18"/>
              </w:rPr>
              <w:t>Intervención de las factores de riesgo biomecánico</w:t>
            </w:r>
          </w:p>
          <w:p w:rsidR="00095425" w:rsidRPr="00C225BF" w:rsidRDefault="00095425" w:rsidP="00442CAC">
            <w:pPr>
              <w:numPr>
                <w:ilvl w:val="0"/>
                <w:numId w:val="67"/>
              </w:numPr>
              <w:autoSpaceDE w:val="0"/>
              <w:autoSpaceDN w:val="0"/>
              <w:ind w:left="222" w:hanging="284"/>
              <w:contextualSpacing/>
              <w:jc w:val="left"/>
              <w:rPr>
                <w:rFonts w:eastAsia="Calibri" w:cs="Arial"/>
                <w:color w:val="000000"/>
                <w:sz w:val="16"/>
                <w:szCs w:val="18"/>
              </w:rPr>
            </w:pPr>
            <w:r w:rsidRPr="00C225BF">
              <w:rPr>
                <w:rFonts w:eastAsia="Calibri" w:cs="Arial"/>
                <w:sz w:val="16"/>
                <w:szCs w:val="18"/>
              </w:rPr>
              <w:t>Visita de inspección para el control de riesgos: material particulado y confort térmico</w:t>
            </w:r>
          </w:p>
          <w:p w:rsidR="00095425" w:rsidRPr="00C225BF" w:rsidRDefault="00095425" w:rsidP="00442CAC">
            <w:pPr>
              <w:numPr>
                <w:ilvl w:val="0"/>
                <w:numId w:val="67"/>
              </w:numPr>
              <w:autoSpaceDE w:val="0"/>
              <w:autoSpaceDN w:val="0"/>
              <w:ind w:left="222" w:hanging="284"/>
              <w:contextualSpacing/>
              <w:jc w:val="left"/>
              <w:rPr>
                <w:rFonts w:eastAsia="Calibri" w:cs="Arial"/>
                <w:color w:val="000000"/>
                <w:sz w:val="16"/>
                <w:szCs w:val="18"/>
              </w:rPr>
            </w:pPr>
            <w:r w:rsidRPr="00C225BF">
              <w:rPr>
                <w:rFonts w:eastAsia="Calibri" w:cs="Arial"/>
                <w:sz w:val="16"/>
                <w:szCs w:val="18"/>
              </w:rPr>
              <w:t>Inscripción al Congreso de Seguridad, Salud y Ambiente - (Consejo Colombiano de seguridad)</w:t>
            </w:r>
          </w:p>
        </w:tc>
      </w:tr>
    </w:tbl>
    <w:p w:rsidR="00574F36" w:rsidRDefault="00574F36" w:rsidP="00574F36">
      <w:pPr>
        <w:rPr>
          <w:lang w:eastAsia="es-CO"/>
        </w:rPr>
      </w:pPr>
    </w:p>
    <w:p w:rsidR="00695F74" w:rsidRPr="000D6B45" w:rsidRDefault="00695F74" w:rsidP="00695F74">
      <w:pPr>
        <w:rPr>
          <w:b/>
          <w:sz w:val="22"/>
          <w:lang w:eastAsia="es-CO"/>
        </w:rPr>
      </w:pPr>
      <w:r w:rsidRPr="000D6B45">
        <w:rPr>
          <w:b/>
          <w:sz w:val="22"/>
          <w:lang w:eastAsia="es-CO"/>
        </w:rPr>
        <w:lastRenderedPageBreak/>
        <w:t>Logros en el 2017</w:t>
      </w:r>
      <w:r w:rsidR="00975A9C" w:rsidRPr="000D6B45">
        <w:rPr>
          <w:b/>
          <w:sz w:val="22"/>
          <w:lang w:eastAsia="es-CO"/>
        </w:rPr>
        <w:t>:</w:t>
      </w:r>
    </w:p>
    <w:p w:rsidR="00695F74" w:rsidRPr="00975A9C" w:rsidRDefault="00695F74" w:rsidP="00442CAC">
      <w:pPr>
        <w:pStyle w:val="Prrafodelista"/>
        <w:numPr>
          <w:ilvl w:val="0"/>
          <w:numId w:val="68"/>
        </w:numPr>
        <w:ind w:left="360"/>
        <w:rPr>
          <w:sz w:val="22"/>
          <w:lang w:eastAsia="es-CO"/>
        </w:rPr>
      </w:pPr>
      <w:r w:rsidRPr="00975A9C">
        <w:rPr>
          <w:sz w:val="22"/>
          <w:lang w:eastAsia="es-CO"/>
        </w:rPr>
        <w:t xml:space="preserve">De acuerdo con el cumplimiento de la normatividad vigente en materia de seguridad y salud en el trabajo,  se realizaron los exámenes ocupacionales a nivel nacional incluidos ingreso, egreso, periódico, post incapacidad, cambio de ocupación, con los correspondientes exámenes clínicos y paraclínicos teniendo en cuenta el perfil del cargo (perfil lipídico, audiometría, espirometría, visiometria, KOH de uñas)  </w:t>
      </w:r>
    </w:p>
    <w:p w:rsidR="00695F74" w:rsidRPr="00975A9C" w:rsidRDefault="00695F74" w:rsidP="00975A9C">
      <w:pPr>
        <w:rPr>
          <w:sz w:val="22"/>
          <w:lang w:eastAsia="es-CO"/>
        </w:rPr>
      </w:pPr>
    </w:p>
    <w:p w:rsidR="00695F74" w:rsidRPr="00975A9C" w:rsidRDefault="00695F74" w:rsidP="00442CAC">
      <w:pPr>
        <w:pStyle w:val="Prrafodelista"/>
        <w:numPr>
          <w:ilvl w:val="0"/>
          <w:numId w:val="68"/>
        </w:numPr>
        <w:ind w:left="360"/>
        <w:rPr>
          <w:sz w:val="22"/>
          <w:lang w:eastAsia="es-CO"/>
        </w:rPr>
      </w:pPr>
      <w:r w:rsidRPr="00975A9C">
        <w:rPr>
          <w:sz w:val="22"/>
          <w:lang w:eastAsia="es-CO"/>
        </w:rPr>
        <w:t xml:space="preserve">En la actualidad somos una entidad VIP para la ARL Positiva  por lo cual más de 800 funcionarios y contratistas de prestación de servicios  reciben atención en las mejores IPS  a nivel nacional por enfermedades laborales y/o accidentes de trabajo. </w:t>
      </w:r>
    </w:p>
    <w:p w:rsidR="00695F74" w:rsidRPr="00975A9C" w:rsidRDefault="00695F74" w:rsidP="00695F74">
      <w:pPr>
        <w:rPr>
          <w:sz w:val="22"/>
          <w:lang w:eastAsia="es-CO"/>
        </w:rPr>
      </w:pPr>
    </w:p>
    <w:p w:rsidR="00574F36" w:rsidRPr="00975A9C" w:rsidRDefault="00695F74" w:rsidP="00442CAC">
      <w:pPr>
        <w:pStyle w:val="Prrafodelista"/>
        <w:numPr>
          <w:ilvl w:val="0"/>
          <w:numId w:val="68"/>
        </w:numPr>
        <w:ind w:left="426"/>
        <w:rPr>
          <w:sz w:val="22"/>
          <w:lang w:eastAsia="es-CO"/>
        </w:rPr>
      </w:pPr>
      <w:r w:rsidRPr="00975A9C">
        <w:rPr>
          <w:sz w:val="22"/>
          <w:lang w:eastAsia="es-CO"/>
        </w:rPr>
        <w:t>La favorabilidad en el clima laboral es del 73% esto es generado por la intervención a través del desarrollo de talleres a nivel nacional, con el apoyo de la ARL Positiva en las Direcciones Territoriales y contratación por parte del Ministerio de Transporte en Bogotá.</w:t>
      </w:r>
    </w:p>
    <w:p w:rsidR="00574F36" w:rsidRDefault="00574F36" w:rsidP="00574F36">
      <w:pPr>
        <w:rPr>
          <w:sz w:val="22"/>
          <w:lang w:eastAsia="es-CO"/>
        </w:rPr>
      </w:pPr>
    </w:p>
    <w:p w:rsidR="00975A9C" w:rsidRPr="00753C27" w:rsidRDefault="00975A9C" w:rsidP="00975A9C">
      <w:pPr>
        <w:rPr>
          <w:b/>
          <w:sz w:val="22"/>
          <w:lang w:eastAsia="es-CO"/>
        </w:rPr>
      </w:pPr>
      <w:r w:rsidRPr="00753C27">
        <w:rPr>
          <w:b/>
          <w:sz w:val="22"/>
          <w:lang w:eastAsia="es-CO"/>
        </w:rPr>
        <w:t>Retos para el 2018:</w:t>
      </w:r>
    </w:p>
    <w:p w:rsidR="00975A9C" w:rsidRPr="00975A9C" w:rsidRDefault="00975A9C" w:rsidP="00442CAC">
      <w:pPr>
        <w:pStyle w:val="Prrafodelista"/>
        <w:numPr>
          <w:ilvl w:val="0"/>
          <w:numId w:val="69"/>
        </w:numPr>
        <w:rPr>
          <w:sz w:val="22"/>
          <w:lang w:eastAsia="es-CO"/>
        </w:rPr>
      </w:pPr>
      <w:r w:rsidRPr="00975A9C">
        <w:rPr>
          <w:sz w:val="22"/>
          <w:lang w:eastAsia="es-CO"/>
        </w:rPr>
        <w:t>Lograr que el los funcionarios y contratistas de prestación de servicios a nivel nacional realicen la capacitación virtual de 50 horas en materia de seguridad y salud en el trabajo que realiza de manera virtual la ARL Positiva y/o el SENA.</w:t>
      </w:r>
    </w:p>
    <w:p w:rsidR="00975A9C" w:rsidRPr="00975A9C" w:rsidRDefault="00975A9C" w:rsidP="00442CAC">
      <w:pPr>
        <w:pStyle w:val="Prrafodelista"/>
        <w:numPr>
          <w:ilvl w:val="0"/>
          <w:numId w:val="69"/>
        </w:numPr>
        <w:rPr>
          <w:sz w:val="22"/>
          <w:lang w:eastAsia="es-CO"/>
        </w:rPr>
      </w:pPr>
      <w:r w:rsidRPr="00975A9C">
        <w:rPr>
          <w:sz w:val="22"/>
          <w:lang w:eastAsia="es-CO"/>
        </w:rPr>
        <w:t xml:space="preserve">Disminuir el número de accidentes de trabajo que para el año 2017 fueron 53, lo que indica que por cada 100 trabajadores se accidenta 10 aproximadamente  </w:t>
      </w:r>
    </w:p>
    <w:p w:rsidR="00975A9C" w:rsidRPr="00975A9C" w:rsidRDefault="00975A9C" w:rsidP="00442CAC">
      <w:pPr>
        <w:pStyle w:val="Prrafodelista"/>
        <w:numPr>
          <w:ilvl w:val="0"/>
          <w:numId w:val="69"/>
        </w:numPr>
        <w:rPr>
          <w:sz w:val="22"/>
          <w:lang w:eastAsia="es-CO"/>
        </w:rPr>
      </w:pPr>
      <w:r w:rsidRPr="00975A9C">
        <w:rPr>
          <w:sz w:val="22"/>
          <w:lang w:eastAsia="es-CO"/>
        </w:rPr>
        <w:t>Mayor participación de los funcionarios y contratistas de prestación de servicios a los programas de actividad física para la salud</w:t>
      </w:r>
      <w:r>
        <w:rPr>
          <w:sz w:val="22"/>
          <w:lang w:eastAsia="es-CO"/>
        </w:rPr>
        <w:t>.</w:t>
      </w:r>
    </w:p>
    <w:p w:rsidR="00574F36" w:rsidRDefault="00574F36" w:rsidP="00574F36">
      <w:pPr>
        <w:rPr>
          <w:sz w:val="22"/>
          <w:lang w:eastAsia="es-CO"/>
        </w:rPr>
      </w:pPr>
    </w:p>
    <w:p w:rsidR="00810BC2" w:rsidRPr="00810BC2" w:rsidRDefault="00810BC2" w:rsidP="00574F36">
      <w:pPr>
        <w:rPr>
          <w:sz w:val="22"/>
          <w:u w:val="single"/>
          <w:lang w:eastAsia="es-CO"/>
        </w:rPr>
      </w:pPr>
      <w:r w:rsidRPr="00810BC2">
        <w:rPr>
          <w:sz w:val="22"/>
          <w:u w:val="single"/>
          <w:lang w:eastAsia="es-CO"/>
        </w:rPr>
        <w:t>Grupo Administración de Personal</w:t>
      </w:r>
    </w:p>
    <w:p w:rsidR="00EA2C0C" w:rsidRPr="00EA2C0C" w:rsidRDefault="00EA2C0C" w:rsidP="00EA2C0C">
      <w:pPr>
        <w:rPr>
          <w:rFonts w:cs="Arial"/>
          <w:b/>
          <w:sz w:val="22"/>
          <w:highlight w:val="yellow"/>
        </w:rPr>
      </w:pPr>
      <w:r w:rsidRPr="00EA2C0C">
        <w:rPr>
          <w:rFonts w:eastAsia="Times New Roman" w:cs="Arial"/>
          <w:b/>
          <w:color w:val="000000" w:themeColor="text1"/>
          <w:sz w:val="22"/>
          <w:lang w:eastAsia="es-ES"/>
        </w:rPr>
        <w:t>Logros</w:t>
      </w:r>
    </w:p>
    <w:p w:rsidR="00EA2C0C" w:rsidRPr="00EA2C0C" w:rsidRDefault="00EA2C0C" w:rsidP="00442CAC">
      <w:pPr>
        <w:pStyle w:val="Estilo1"/>
        <w:numPr>
          <w:ilvl w:val="0"/>
          <w:numId w:val="70"/>
        </w:numPr>
        <w:suppressAutoHyphens/>
        <w:autoSpaceDN w:val="0"/>
        <w:spacing w:line="360" w:lineRule="auto"/>
        <w:contextualSpacing/>
        <w:textAlignment w:val="baseline"/>
        <w:rPr>
          <w:sz w:val="22"/>
          <w:szCs w:val="22"/>
          <w:lang w:val="es-CO"/>
        </w:rPr>
      </w:pPr>
      <w:r w:rsidRPr="00EA2C0C">
        <w:rPr>
          <w:sz w:val="22"/>
          <w:szCs w:val="22"/>
          <w:lang w:val="es-CO"/>
        </w:rPr>
        <w:t>Disminución en tiempo de respuesta de reclamaciones y tutelas del personal retirado, gracias al pago oportuno de sus prestaciones.</w:t>
      </w:r>
    </w:p>
    <w:p w:rsidR="00EA2C0C" w:rsidRPr="00EA2C0C" w:rsidRDefault="00EA2C0C" w:rsidP="00442CAC">
      <w:pPr>
        <w:pStyle w:val="Prrafodelista"/>
        <w:numPr>
          <w:ilvl w:val="0"/>
          <w:numId w:val="70"/>
        </w:numPr>
        <w:rPr>
          <w:sz w:val="22"/>
          <w:lang w:eastAsia="es-CO"/>
        </w:rPr>
      </w:pPr>
      <w:r w:rsidRPr="00EA2C0C">
        <w:rPr>
          <w:sz w:val="22"/>
          <w:lang w:val="es-CO"/>
        </w:rPr>
        <w:t>Modificación inmediata en la tabla salarial una vez expedido el Decreto de Incremento por el Gobierno Nacional</w:t>
      </w:r>
    </w:p>
    <w:p w:rsidR="00EA2C0C" w:rsidRPr="002644F1" w:rsidRDefault="00EA2C0C" w:rsidP="00442CAC">
      <w:pPr>
        <w:pStyle w:val="Estilo1"/>
        <w:numPr>
          <w:ilvl w:val="0"/>
          <w:numId w:val="70"/>
        </w:numPr>
        <w:suppressAutoHyphens/>
        <w:autoSpaceDN w:val="0"/>
        <w:spacing w:line="360" w:lineRule="auto"/>
        <w:contextualSpacing/>
        <w:textAlignment w:val="baseline"/>
        <w:rPr>
          <w:sz w:val="22"/>
          <w:szCs w:val="22"/>
          <w:lang w:val="es-CO"/>
        </w:rPr>
      </w:pPr>
      <w:r w:rsidRPr="002644F1">
        <w:rPr>
          <w:sz w:val="22"/>
          <w:szCs w:val="22"/>
          <w:lang w:val="es-CO"/>
        </w:rPr>
        <w:lastRenderedPageBreak/>
        <w:t xml:space="preserve">Cambio de procedimiento para información anticipada del disfrute de vacaciones con el objetivo de atender cualquier reclamación de programación.   </w:t>
      </w:r>
    </w:p>
    <w:p w:rsidR="00810BC2" w:rsidRPr="00EA2C0C" w:rsidRDefault="00EA2C0C" w:rsidP="00442CAC">
      <w:pPr>
        <w:pStyle w:val="Prrafodelista"/>
        <w:numPr>
          <w:ilvl w:val="0"/>
          <w:numId w:val="70"/>
        </w:numPr>
        <w:rPr>
          <w:sz w:val="22"/>
          <w:lang w:eastAsia="es-CO"/>
        </w:rPr>
      </w:pPr>
      <w:r w:rsidRPr="00EA2C0C">
        <w:rPr>
          <w:sz w:val="22"/>
          <w:lang w:val="es-CO"/>
        </w:rPr>
        <w:t>Respuesta oportuna (diaria) a las solicitudes de certificaciones laborales con funciones, tanto a personal activo como exfuncionarios</w:t>
      </w:r>
      <w:r>
        <w:rPr>
          <w:sz w:val="22"/>
          <w:lang w:val="es-CO"/>
        </w:rPr>
        <w:t>.</w:t>
      </w:r>
    </w:p>
    <w:p w:rsidR="00EA2C0C" w:rsidRDefault="00EA2C0C" w:rsidP="00EA2C0C">
      <w:pPr>
        <w:rPr>
          <w:sz w:val="22"/>
          <w:lang w:eastAsia="es-CO"/>
        </w:rPr>
      </w:pPr>
    </w:p>
    <w:p w:rsidR="00EA2C0C" w:rsidRPr="00E744CF" w:rsidRDefault="00EA2C0C" w:rsidP="00EA2C0C">
      <w:pPr>
        <w:rPr>
          <w:sz w:val="22"/>
          <w:u w:val="single"/>
          <w:lang w:eastAsia="es-CO"/>
        </w:rPr>
      </w:pPr>
      <w:r w:rsidRPr="00E744CF">
        <w:rPr>
          <w:sz w:val="22"/>
          <w:u w:val="single"/>
          <w:lang w:eastAsia="es-CO"/>
        </w:rPr>
        <w:t>Grupos descongestión de certificados laborales para pensión y certificaciones laborales para pensión</w:t>
      </w:r>
    </w:p>
    <w:p w:rsidR="00EA2C0C" w:rsidRPr="00EA2C0C" w:rsidRDefault="00EA2C0C" w:rsidP="00EA2C0C">
      <w:pPr>
        <w:rPr>
          <w:b/>
          <w:sz w:val="22"/>
          <w:lang w:eastAsia="es-CO"/>
        </w:rPr>
      </w:pPr>
      <w:r w:rsidRPr="00EA2C0C">
        <w:rPr>
          <w:b/>
          <w:sz w:val="22"/>
          <w:lang w:eastAsia="es-CO"/>
        </w:rPr>
        <w:t>Logros</w:t>
      </w:r>
    </w:p>
    <w:p w:rsidR="00EA2C0C" w:rsidRPr="00EA2C0C" w:rsidRDefault="00EA2C0C" w:rsidP="00442CAC">
      <w:pPr>
        <w:pStyle w:val="Prrafodelista"/>
        <w:numPr>
          <w:ilvl w:val="0"/>
          <w:numId w:val="71"/>
        </w:numPr>
        <w:rPr>
          <w:sz w:val="22"/>
          <w:lang w:eastAsia="es-CO"/>
        </w:rPr>
      </w:pPr>
      <w:r w:rsidRPr="00EA2C0C">
        <w:rPr>
          <w:sz w:val="22"/>
          <w:lang w:eastAsia="es-CO"/>
        </w:rPr>
        <w:t>El Grupo Descongestión de Certificados Laborales para Pensión, logró atender los 875 que se encontraban represados, de años anteriores a 2017.</w:t>
      </w:r>
    </w:p>
    <w:p w:rsidR="00EA2C0C" w:rsidRPr="00EA2C0C" w:rsidRDefault="00EA2C0C" w:rsidP="00442CAC">
      <w:pPr>
        <w:pStyle w:val="Prrafodelista"/>
        <w:numPr>
          <w:ilvl w:val="0"/>
          <w:numId w:val="71"/>
        </w:numPr>
        <w:rPr>
          <w:sz w:val="22"/>
          <w:lang w:eastAsia="es-CO"/>
        </w:rPr>
      </w:pPr>
      <w:r w:rsidRPr="00EA2C0C">
        <w:rPr>
          <w:sz w:val="22"/>
          <w:lang w:eastAsia="es-CO"/>
        </w:rPr>
        <w:t>Desde septiembre de 2005 a la fecha, se han resuelto 20.631 casos de solicitudes de trámites relacionados con certificados laborales para pensión, impactando de manera positiva en el bienestar directo de los pensionados y sus familias, en alrededor de 82.524 personas</w:t>
      </w:r>
    </w:p>
    <w:p w:rsidR="00EA2C0C" w:rsidRDefault="00EA2C0C" w:rsidP="00574F36">
      <w:pPr>
        <w:rPr>
          <w:sz w:val="22"/>
          <w:lang w:eastAsia="es-CO"/>
        </w:rPr>
      </w:pPr>
    </w:p>
    <w:p w:rsidR="00EA2C0C" w:rsidRPr="00EA2C0C" w:rsidRDefault="00EA2C0C" w:rsidP="00EA2C0C">
      <w:pPr>
        <w:rPr>
          <w:b/>
          <w:sz w:val="22"/>
          <w:lang w:eastAsia="es-CO"/>
        </w:rPr>
      </w:pPr>
      <w:r w:rsidRPr="00EA2C0C">
        <w:rPr>
          <w:b/>
          <w:sz w:val="22"/>
          <w:lang w:eastAsia="es-CO"/>
        </w:rPr>
        <w:t>Retos</w:t>
      </w:r>
    </w:p>
    <w:p w:rsidR="00EA2C0C" w:rsidRPr="00EA2C0C" w:rsidRDefault="00EA2C0C" w:rsidP="00442CAC">
      <w:pPr>
        <w:pStyle w:val="Prrafodelista"/>
        <w:numPr>
          <w:ilvl w:val="0"/>
          <w:numId w:val="72"/>
        </w:numPr>
        <w:rPr>
          <w:sz w:val="22"/>
          <w:lang w:eastAsia="es-CO"/>
        </w:rPr>
      </w:pPr>
      <w:r w:rsidRPr="00EA2C0C">
        <w:rPr>
          <w:sz w:val="22"/>
          <w:lang w:eastAsia="es-CO"/>
        </w:rPr>
        <w:t>Avanzar en la implementación del programa CETIL (Certificación Electrónica de Tiempos Laborados), al interior del Ministerio de Transporte, permitiendo atender con mayor celeridad las solicitudes de nuestros usuarios.</w:t>
      </w:r>
    </w:p>
    <w:p w:rsidR="00EA2C0C" w:rsidRPr="00EA2C0C" w:rsidRDefault="00EA2C0C" w:rsidP="00442CAC">
      <w:pPr>
        <w:pStyle w:val="Prrafodelista"/>
        <w:numPr>
          <w:ilvl w:val="0"/>
          <w:numId w:val="72"/>
        </w:numPr>
        <w:rPr>
          <w:sz w:val="22"/>
          <w:lang w:eastAsia="es-CO"/>
        </w:rPr>
      </w:pPr>
      <w:r w:rsidRPr="00EA2C0C">
        <w:rPr>
          <w:sz w:val="22"/>
          <w:lang w:eastAsia="es-CO"/>
        </w:rPr>
        <w:t>El Grupo Certificaciones Laborales para Pensión, realizará las tareas necesarias con el fin de garantizar las respuestas en términos de Ley, de todas aquellas solicitudes que se radiquen en la Entidad, a partir del 01 de diciembre de 2017 en adelante.</w:t>
      </w:r>
    </w:p>
    <w:p w:rsidR="00EA2C0C" w:rsidRPr="00EA2C0C" w:rsidRDefault="00EA2C0C" w:rsidP="00442CAC">
      <w:pPr>
        <w:pStyle w:val="Prrafodelista"/>
        <w:numPr>
          <w:ilvl w:val="0"/>
          <w:numId w:val="72"/>
        </w:numPr>
        <w:rPr>
          <w:sz w:val="22"/>
          <w:lang w:eastAsia="es-CO"/>
        </w:rPr>
      </w:pPr>
      <w:r w:rsidRPr="00EA2C0C">
        <w:rPr>
          <w:sz w:val="22"/>
          <w:lang w:eastAsia="es-CO"/>
        </w:rPr>
        <w:t>El Grupo Descongestión de Certificaciones para Pensión, deberá atender más de 1.400 solicitudes represadas del 01 de diciembre de 2016 al 30 de noviembre de 2017, en el término máximo del día 31 de enero de 2019</w:t>
      </w:r>
    </w:p>
    <w:p w:rsidR="00EA2C0C" w:rsidRDefault="00EA2C0C" w:rsidP="00574F36">
      <w:pPr>
        <w:rPr>
          <w:sz w:val="22"/>
          <w:lang w:eastAsia="es-CO"/>
        </w:rPr>
      </w:pPr>
    </w:p>
    <w:p w:rsidR="00EA2C0C" w:rsidRPr="00EA2C0C" w:rsidRDefault="00EA2C0C" w:rsidP="00EA2C0C">
      <w:pPr>
        <w:rPr>
          <w:sz w:val="22"/>
          <w:u w:val="single"/>
          <w:lang w:eastAsia="es-CO"/>
        </w:rPr>
      </w:pPr>
      <w:r w:rsidRPr="00EA2C0C">
        <w:rPr>
          <w:sz w:val="22"/>
          <w:u w:val="single"/>
          <w:lang w:eastAsia="es-CO"/>
        </w:rPr>
        <w:t>Grupo de Pensiones y Cumplimientos de Sentencias Judiciales</w:t>
      </w:r>
    </w:p>
    <w:p w:rsidR="00EA2C0C" w:rsidRPr="00EA2C0C" w:rsidRDefault="00EA2C0C" w:rsidP="00EA2C0C">
      <w:pPr>
        <w:rPr>
          <w:b/>
          <w:sz w:val="22"/>
          <w:lang w:eastAsia="es-CO"/>
        </w:rPr>
      </w:pPr>
      <w:r w:rsidRPr="00EA2C0C">
        <w:rPr>
          <w:b/>
          <w:sz w:val="22"/>
          <w:lang w:eastAsia="es-CO"/>
        </w:rPr>
        <w:t xml:space="preserve">Logros </w:t>
      </w:r>
    </w:p>
    <w:p w:rsidR="00EA2C0C" w:rsidRPr="00EA2C0C" w:rsidRDefault="00EA2C0C" w:rsidP="00442CAC">
      <w:pPr>
        <w:pStyle w:val="Prrafodelista"/>
        <w:numPr>
          <w:ilvl w:val="0"/>
          <w:numId w:val="73"/>
        </w:numPr>
        <w:rPr>
          <w:sz w:val="22"/>
          <w:lang w:eastAsia="es-CO"/>
        </w:rPr>
      </w:pPr>
      <w:r w:rsidRPr="00EA2C0C">
        <w:rPr>
          <w:sz w:val="22"/>
          <w:lang w:eastAsia="es-CO"/>
        </w:rPr>
        <w:t xml:space="preserve">Dentro del programa de prepensionados, el Grupo de Pensiones y Cumplimientos de Sentencias Judiciales, incluyó dentro de sus planes y programas para el año 2017, el acompañamiento, asesoría, orientación y apoyo a los funcionarios que adquirieron </w:t>
      </w:r>
      <w:r w:rsidRPr="00EA2C0C">
        <w:rPr>
          <w:sz w:val="22"/>
          <w:lang w:eastAsia="es-CO"/>
        </w:rPr>
        <w:lastRenderedPageBreak/>
        <w:t>carácter de prepensionados logrando de esta forma que el trámite de reconocimiento pensional de siete funcionarios fuera exitosa.</w:t>
      </w:r>
    </w:p>
    <w:p w:rsidR="00EA2C0C" w:rsidRPr="00EA2C0C" w:rsidRDefault="00EA2C0C" w:rsidP="00442CAC">
      <w:pPr>
        <w:pStyle w:val="Prrafodelista"/>
        <w:numPr>
          <w:ilvl w:val="0"/>
          <w:numId w:val="73"/>
        </w:numPr>
        <w:rPr>
          <w:sz w:val="22"/>
          <w:lang w:eastAsia="es-CO"/>
        </w:rPr>
      </w:pPr>
      <w:r w:rsidRPr="00EA2C0C">
        <w:rPr>
          <w:sz w:val="22"/>
          <w:lang w:eastAsia="es-CO"/>
        </w:rPr>
        <w:t xml:space="preserve">Cumplimiento de las sentencias judiciales y pagos de retroactivos pensionales dentro los parámetros legales. </w:t>
      </w:r>
    </w:p>
    <w:p w:rsidR="00EA2C0C" w:rsidRPr="00EA2C0C" w:rsidRDefault="00EA2C0C" w:rsidP="00442CAC">
      <w:pPr>
        <w:pStyle w:val="Prrafodelista"/>
        <w:numPr>
          <w:ilvl w:val="0"/>
          <w:numId w:val="73"/>
        </w:numPr>
        <w:rPr>
          <w:sz w:val="22"/>
          <w:lang w:eastAsia="es-CO"/>
        </w:rPr>
      </w:pPr>
      <w:r w:rsidRPr="00EA2C0C">
        <w:rPr>
          <w:sz w:val="22"/>
          <w:lang w:eastAsia="es-CO"/>
        </w:rPr>
        <w:t>Bajo la figura de la compartibilidad pensional se radicaron 26 solicitudes de pensión con Colpensiones de las cuales resultó un retroactivo a favor del Ministerio de Transporte de $477.931.212.66 y el retiro de la nómina de 11 pensionados toda vez que la obligación fue subrogada en su totalidad por la administradora de pensiones con una mesada superior a la pagada por esta entidad.</w:t>
      </w:r>
    </w:p>
    <w:p w:rsidR="00EA2C0C" w:rsidRPr="000D6B45" w:rsidRDefault="00EA2C0C" w:rsidP="00EA2C0C">
      <w:pPr>
        <w:rPr>
          <w:sz w:val="22"/>
          <w:lang w:eastAsia="es-CO"/>
        </w:rPr>
      </w:pPr>
    </w:p>
    <w:p w:rsidR="00EA2C0C" w:rsidRPr="00EA2C0C" w:rsidRDefault="00EA2C0C" w:rsidP="00EA2C0C">
      <w:pPr>
        <w:rPr>
          <w:b/>
          <w:sz w:val="22"/>
          <w:lang w:eastAsia="es-CO"/>
        </w:rPr>
      </w:pPr>
      <w:r w:rsidRPr="00EA2C0C">
        <w:rPr>
          <w:b/>
          <w:sz w:val="22"/>
          <w:lang w:eastAsia="es-CO"/>
        </w:rPr>
        <w:t>Retos</w:t>
      </w:r>
    </w:p>
    <w:p w:rsidR="00EA2C0C" w:rsidRPr="00EA2C0C" w:rsidRDefault="00EA2C0C" w:rsidP="00442CAC">
      <w:pPr>
        <w:pStyle w:val="Prrafodelista"/>
        <w:numPr>
          <w:ilvl w:val="0"/>
          <w:numId w:val="74"/>
        </w:numPr>
        <w:rPr>
          <w:sz w:val="22"/>
          <w:lang w:eastAsia="es-CO"/>
        </w:rPr>
      </w:pPr>
      <w:r w:rsidRPr="00EA2C0C">
        <w:rPr>
          <w:sz w:val="22"/>
          <w:lang w:eastAsia="es-CO"/>
        </w:rPr>
        <w:t xml:space="preserve">Fortalecer el acompañamiento, apoyo y orientación a los funcionarios que adquieren el carácter de prepensionados. </w:t>
      </w:r>
    </w:p>
    <w:p w:rsidR="00EA2C0C" w:rsidRPr="00EA2C0C" w:rsidRDefault="00EA2C0C" w:rsidP="00442CAC">
      <w:pPr>
        <w:pStyle w:val="Prrafodelista"/>
        <w:numPr>
          <w:ilvl w:val="0"/>
          <w:numId w:val="74"/>
        </w:numPr>
        <w:rPr>
          <w:sz w:val="22"/>
          <w:lang w:eastAsia="es-CO"/>
        </w:rPr>
      </w:pPr>
      <w:r w:rsidRPr="00EA2C0C">
        <w:rPr>
          <w:sz w:val="22"/>
          <w:lang w:eastAsia="es-CO"/>
        </w:rPr>
        <w:t>Avanzar en la gestión tendiente al alistamiento de los expedientes pensionales y posterior entrega de la obligación pensional a la UGPP.</w:t>
      </w:r>
    </w:p>
    <w:p w:rsidR="00EA2C0C" w:rsidRPr="00EA2C0C" w:rsidRDefault="00EA2C0C" w:rsidP="00442CAC">
      <w:pPr>
        <w:pStyle w:val="Prrafodelista"/>
        <w:numPr>
          <w:ilvl w:val="0"/>
          <w:numId w:val="74"/>
        </w:numPr>
        <w:rPr>
          <w:sz w:val="22"/>
          <w:lang w:eastAsia="es-CO"/>
        </w:rPr>
      </w:pPr>
      <w:r w:rsidRPr="00EA2C0C">
        <w:rPr>
          <w:sz w:val="22"/>
          <w:lang w:eastAsia="es-CO"/>
        </w:rPr>
        <w:t>Continuar con el cumplimiento oportuno de las sentencias judiciales y pagos de retroactivos pensionales</w:t>
      </w:r>
    </w:p>
    <w:p w:rsidR="00EA2C0C" w:rsidRDefault="00EA2C0C" w:rsidP="00574F36">
      <w:pPr>
        <w:rPr>
          <w:sz w:val="22"/>
          <w:lang w:eastAsia="es-CO"/>
        </w:rPr>
      </w:pPr>
    </w:p>
    <w:p w:rsidR="00116613" w:rsidRDefault="00116613" w:rsidP="00574F36">
      <w:pPr>
        <w:rPr>
          <w:sz w:val="22"/>
          <w:lang w:eastAsia="es-CO"/>
        </w:rPr>
      </w:pPr>
      <w:r w:rsidRPr="00370999">
        <w:rPr>
          <w:sz w:val="22"/>
          <w:u w:val="single"/>
          <w:lang w:eastAsia="es-CO"/>
        </w:rPr>
        <w:t>Grupo Provisión Temporal de Empleos de Carrera</w:t>
      </w:r>
      <w:r>
        <w:rPr>
          <w:sz w:val="22"/>
          <w:lang w:eastAsia="es-CO"/>
        </w:rPr>
        <w:t>:</w:t>
      </w:r>
    </w:p>
    <w:tbl>
      <w:tblPr>
        <w:tblW w:w="5860" w:type="dxa"/>
        <w:jc w:val="center"/>
        <w:tblCellMar>
          <w:left w:w="70" w:type="dxa"/>
          <w:right w:w="70" w:type="dxa"/>
        </w:tblCellMar>
        <w:tblLook w:val="04A0" w:firstRow="1" w:lastRow="0" w:firstColumn="1" w:lastColumn="0" w:noHBand="0" w:noVBand="1"/>
      </w:tblPr>
      <w:tblGrid>
        <w:gridCol w:w="3823"/>
        <w:gridCol w:w="2037"/>
      </w:tblGrid>
      <w:tr w:rsidR="00370999" w:rsidRPr="0081012B" w:rsidTr="00370999">
        <w:trPr>
          <w:trHeight w:val="451"/>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jc w:val="center"/>
              <w:rPr>
                <w:rFonts w:eastAsia="Times New Roman" w:cs="Arial"/>
                <w:b/>
                <w:bCs/>
                <w:color w:val="000000"/>
                <w:sz w:val="20"/>
                <w:szCs w:val="20"/>
                <w:lang w:eastAsia="es-CO"/>
              </w:rPr>
            </w:pPr>
            <w:r w:rsidRPr="0081012B">
              <w:rPr>
                <w:rFonts w:eastAsia="Times New Roman" w:cs="Arial"/>
                <w:b/>
                <w:bCs/>
                <w:color w:val="000000"/>
                <w:sz w:val="20"/>
                <w:szCs w:val="20"/>
                <w:lang w:eastAsia="es-CO"/>
              </w:rPr>
              <w:t>ETAPAS PUBLICADAS</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370999" w:rsidRPr="0081012B" w:rsidRDefault="00370999" w:rsidP="00C83D44">
            <w:pPr>
              <w:jc w:val="center"/>
              <w:rPr>
                <w:rFonts w:eastAsia="Times New Roman" w:cs="Arial"/>
                <w:b/>
                <w:bCs/>
                <w:color w:val="000000"/>
                <w:sz w:val="20"/>
                <w:szCs w:val="20"/>
                <w:lang w:eastAsia="es-CO"/>
              </w:rPr>
            </w:pPr>
            <w:r w:rsidRPr="0081012B">
              <w:rPr>
                <w:rFonts w:eastAsia="Times New Roman" w:cs="Arial"/>
                <w:b/>
                <w:bCs/>
                <w:color w:val="000000"/>
                <w:sz w:val="20"/>
                <w:szCs w:val="20"/>
                <w:lang w:eastAsia="es-CO"/>
              </w:rPr>
              <w:t>No. DE EMPLEOS</w:t>
            </w:r>
          </w:p>
        </w:tc>
      </w:tr>
      <w:tr w:rsidR="00370999" w:rsidRPr="0081012B" w:rsidTr="00370999">
        <w:trPr>
          <w:trHeight w:val="26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jc w:val="center"/>
              <w:rPr>
                <w:rFonts w:eastAsia="Times New Roman" w:cs="Arial"/>
                <w:color w:val="000000"/>
                <w:sz w:val="20"/>
                <w:szCs w:val="20"/>
                <w:lang w:eastAsia="es-CO"/>
              </w:rPr>
            </w:pPr>
            <w:r w:rsidRPr="0081012B">
              <w:rPr>
                <w:rFonts w:eastAsia="Times New Roman" w:cs="Arial"/>
                <w:color w:val="000000"/>
                <w:sz w:val="20"/>
                <w:szCs w:val="20"/>
                <w:lang w:eastAsia="es-CO"/>
              </w:rPr>
              <w:t>7</w:t>
            </w:r>
          </w:p>
        </w:tc>
        <w:tc>
          <w:tcPr>
            <w:tcW w:w="2037" w:type="dxa"/>
            <w:tcBorders>
              <w:top w:val="nil"/>
              <w:left w:val="nil"/>
              <w:bottom w:val="single" w:sz="4" w:space="0" w:color="auto"/>
              <w:right w:val="single" w:sz="4" w:space="0" w:color="auto"/>
            </w:tcBorders>
            <w:shd w:val="clear" w:color="auto" w:fill="auto"/>
            <w:vAlign w:val="center"/>
            <w:hideMark/>
          </w:tcPr>
          <w:p w:rsidR="00370999" w:rsidRPr="0081012B" w:rsidRDefault="00370999" w:rsidP="00C83D44">
            <w:pPr>
              <w:jc w:val="center"/>
              <w:rPr>
                <w:rFonts w:eastAsia="Times New Roman" w:cs="Arial"/>
                <w:color w:val="000000"/>
                <w:sz w:val="20"/>
                <w:szCs w:val="20"/>
                <w:lang w:eastAsia="es-CO"/>
              </w:rPr>
            </w:pPr>
            <w:r w:rsidRPr="0081012B">
              <w:rPr>
                <w:rFonts w:eastAsia="Times New Roman" w:cs="Arial"/>
                <w:color w:val="000000"/>
                <w:sz w:val="20"/>
                <w:szCs w:val="20"/>
                <w:lang w:eastAsia="es-CO"/>
              </w:rPr>
              <w:t>120</w:t>
            </w:r>
          </w:p>
        </w:tc>
      </w:tr>
      <w:tr w:rsidR="00370999" w:rsidRPr="0081012B" w:rsidTr="00370999">
        <w:trPr>
          <w:trHeight w:val="380"/>
          <w:jc w:val="center"/>
        </w:trPr>
        <w:tc>
          <w:tcPr>
            <w:tcW w:w="3823" w:type="dxa"/>
            <w:tcBorders>
              <w:top w:val="nil"/>
              <w:left w:val="nil"/>
              <w:bottom w:val="nil"/>
              <w:right w:val="nil"/>
            </w:tcBorders>
            <w:shd w:val="clear" w:color="auto" w:fill="auto"/>
            <w:noWrap/>
            <w:vAlign w:val="center"/>
            <w:hideMark/>
          </w:tcPr>
          <w:p w:rsidR="00370999" w:rsidRPr="0081012B" w:rsidRDefault="00370999" w:rsidP="00C83D44">
            <w:pPr>
              <w:jc w:val="center"/>
              <w:rPr>
                <w:rFonts w:eastAsia="Times New Roman" w:cs="Arial"/>
                <w:color w:val="000000"/>
                <w:sz w:val="20"/>
                <w:szCs w:val="20"/>
                <w:lang w:eastAsia="es-CO"/>
              </w:rPr>
            </w:pPr>
          </w:p>
        </w:tc>
        <w:tc>
          <w:tcPr>
            <w:tcW w:w="2037" w:type="dxa"/>
            <w:tcBorders>
              <w:top w:val="nil"/>
              <w:left w:val="nil"/>
              <w:bottom w:val="nil"/>
              <w:right w:val="nil"/>
            </w:tcBorders>
            <w:shd w:val="clear" w:color="auto" w:fill="auto"/>
            <w:noWrap/>
            <w:vAlign w:val="center"/>
            <w:hideMark/>
          </w:tcPr>
          <w:p w:rsidR="00370999" w:rsidRPr="0081012B" w:rsidRDefault="00370999" w:rsidP="00C83D44">
            <w:pPr>
              <w:jc w:val="center"/>
              <w:rPr>
                <w:rFonts w:eastAsia="Times New Roman" w:cs="Arial"/>
                <w:sz w:val="20"/>
                <w:szCs w:val="20"/>
                <w:lang w:eastAsia="es-CO"/>
              </w:rPr>
            </w:pPr>
          </w:p>
        </w:tc>
      </w:tr>
      <w:tr w:rsidR="00370999" w:rsidRPr="0081012B" w:rsidTr="00370999">
        <w:trPr>
          <w:trHeight w:hRule="exact" w:val="397"/>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jc w:val="center"/>
              <w:rPr>
                <w:rFonts w:eastAsia="Times New Roman" w:cs="Arial"/>
                <w:b/>
                <w:bCs/>
                <w:color w:val="000000"/>
                <w:sz w:val="20"/>
                <w:szCs w:val="20"/>
                <w:lang w:eastAsia="es-CO"/>
              </w:rPr>
            </w:pPr>
            <w:r>
              <w:rPr>
                <w:rFonts w:eastAsia="Times New Roman" w:cs="Arial"/>
                <w:b/>
                <w:bCs/>
                <w:color w:val="000000"/>
                <w:sz w:val="20"/>
                <w:szCs w:val="20"/>
                <w:lang w:eastAsia="es-CO"/>
              </w:rPr>
              <w:t>ESTADO</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370999" w:rsidRPr="0081012B" w:rsidRDefault="00370999" w:rsidP="00C83D44">
            <w:pPr>
              <w:jc w:val="center"/>
              <w:rPr>
                <w:rFonts w:eastAsia="Times New Roman" w:cs="Arial"/>
                <w:b/>
                <w:bCs/>
                <w:color w:val="000000"/>
                <w:sz w:val="20"/>
                <w:szCs w:val="20"/>
                <w:lang w:eastAsia="es-CO"/>
              </w:rPr>
            </w:pPr>
            <w:r w:rsidRPr="0081012B">
              <w:rPr>
                <w:rFonts w:eastAsia="Times New Roman" w:cs="Arial"/>
                <w:b/>
                <w:bCs/>
                <w:color w:val="000000"/>
                <w:sz w:val="20"/>
                <w:szCs w:val="20"/>
                <w:lang w:eastAsia="es-CO"/>
              </w:rPr>
              <w:t>No. DE EMPLEOS</w:t>
            </w:r>
          </w:p>
        </w:tc>
      </w:tr>
      <w:tr w:rsidR="00370999" w:rsidRPr="0081012B" w:rsidTr="00370999">
        <w:trPr>
          <w:trHeight w:hRule="exact" w:val="39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rPr>
                <w:rFonts w:eastAsia="Times New Roman" w:cs="Arial"/>
                <w:color w:val="000000"/>
                <w:sz w:val="20"/>
                <w:szCs w:val="20"/>
                <w:lang w:eastAsia="es-CO"/>
              </w:rPr>
            </w:pPr>
            <w:r w:rsidRPr="0081012B">
              <w:rPr>
                <w:rFonts w:eastAsia="Times New Roman" w:cs="Arial"/>
                <w:color w:val="000000"/>
                <w:sz w:val="20"/>
                <w:szCs w:val="20"/>
                <w:lang w:eastAsia="es-CO"/>
              </w:rPr>
              <w:t>Estudio</w:t>
            </w:r>
          </w:p>
        </w:tc>
        <w:tc>
          <w:tcPr>
            <w:tcW w:w="2037" w:type="dxa"/>
            <w:tcBorders>
              <w:top w:val="nil"/>
              <w:left w:val="nil"/>
              <w:bottom w:val="single" w:sz="4" w:space="0" w:color="auto"/>
              <w:right w:val="single" w:sz="4" w:space="0" w:color="auto"/>
            </w:tcBorders>
            <w:shd w:val="clear" w:color="000000" w:fill="FFFFFF"/>
            <w:vAlign w:val="center"/>
            <w:hideMark/>
          </w:tcPr>
          <w:p w:rsidR="00370999" w:rsidRPr="0081012B" w:rsidRDefault="00370999" w:rsidP="00C83D44">
            <w:pPr>
              <w:jc w:val="center"/>
              <w:rPr>
                <w:rFonts w:eastAsia="Times New Roman" w:cs="Arial"/>
                <w:sz w:val="20"/>
                <w:szCs w:val="20"/>
                <w:lang w:eastAsia="es-CO"/>
              </w:rPr>
            </w:pPr>
            <w:r w:rsidRPr="0081012B">
              <w:rPr>
                <w:rFonts w:eastAsia="Times New Roman" w:cs="Arial"/>
                <w:sz w:val="20"/>
                <w:szCs w:val="20"/>
                <w:lang w:eastAsia="es-CO"/>
              </w:rPr>
              <w:t>4</w:t>
            </w:r>
          </w:p>
        </w:tc>
      </w:tr>
      <w:tr w:rsidR="00370999" w:rsidRPr="0081012B" w:rsidTr="00370999">
        <w:trPr>
          <w:trHeight w:hRule="exact" w:val="39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rPr>
                <w:rFonts w:eastAsia="Times New Roman" w:cs="Arial"/>
                <w:color w:val="000000"/>
                <w:sz w:val="20"/>
                <w:szCs w:val="20"/>
                <w:lang w:eastAsia="es-CO"/>
              </w:rPr>
            </w:pPr>
            <w:r w:rsidRPr="0081012B">
              <w:rPr>
                <w:rFonts w:eastAsia="Times New Roman" w:cs="Arial"/>
                <w:color w:val="000000"/>
                <w:sz w:val="20"/>
                <w:szCs w:val="20"/>
                <w:lang w:eastAsia="es-CO"/>
              </w:rPr>
              <w:t>No se va a proveer</w:t>
            </w:r>
          </w:p>
        </w:tc>
        <w:tc>
          <w:tcPr>
            <w:tcW w:w="2037" w:type="dxa"/>
            <w:tcBorders>
              <w:top w:val="nil"/>
              <w:left w:val="nil"/>
              <w:bottom w:val="single" w:sz="4" w:space="0" w:color="auto"/>
              <w:right w:val="single" w:sz="4" w:space="0" w:color="auto"/>
            </w:tcBorders>
            <w:shd w:val="clear" w:color="000000" w:fill="FFFFFF"/>
            <w:vAlign w:val="center"/>
            <w:hideMark/>
          </w:tcPr>
          <w:p w:rsidR="00370999" w:rsidRPr="0081012B" w:rsidRDefault="00370999" w:rsidP="00C83D44">
            <w:pPr>
              <w:jc w:val="center"/>
              <w:rPr>
                <w:rFonts w:eastAsia="Times New Roman" w:cs="Arial"/>
                <w:sz w:val="20"/>
                <w:szCs w:val="20"/>
                <w:lang w:eastAsia="es-CO"/>
              </w:rPr>
            </w:pPr>
            <w:r w:rsidRPr="0081012B">
              <w:rPr>
                <w:rFonts w:eastAsia="Times New Roman" w:cs="Arial"/>
                <w:sz w:val="20"/>
                <w:szCs w:val="20"/>
                <w:lang w:eastAsia="es-CO"/>
              </w:rPr>
              <w:t>2</w:t>
            </w:r>
          </w:p>
        </w:tc>
      </w:tr>
      <w:tr w:rsidR="00370999" w:rsidRPr="0081012B" w:rsidTr="00370999">
        <w:trPr>
          <w:trHeight w:hRule="exact" w:val="39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rPr>
                <w:rFonts w:eastAsia="Times New Roman" w:cs="Arial"/>
                <w:color w:val="000000"/>
                <w:sz w:val="20"/>
                <w:szCs w:val="20"/>
                <w:lang w:eastAsia="es-CO"/>
              </w:rPr>
            </w:pPr>
            <w:r w:rsidRPr="0081012B">
              <w:rPr>
                <w:rFonts w:eastAsia="Times New Roman" w:cs="Arial"/>
                <w:color w:val="000000"/>
                <w:sz w:val="20"/>
                <w:szCs w:val="20"/>
                <w:lang w:eastAsia="es-CO"/>
              </w:rPr>
              <w:t>Posesión</w:t>
            </w:r>
          </w:p>
        </w:tc>
        <w:tc>
          <w:tcPr>
            <w:tcW w:w="2037" w:type="dxa"/>
            <w:tcBorders>
              <w:top w:val="nil"/>
              <w:left w:val="nil"/>
              <w:bottom w:val="single" w:sz="4" w:space="0" w:color="auto"/>
              <w:right w:val="single" w:sz="4" w:space="0" w:color="auto"/>
            </w:tcBorders>
            <w:shd w:val="clear" w:color="000000" w:fill="FFFFFF"/>
            <w:vAlign w:val="center"/>
            <w:hideMark/>
          </w:tcPr>
          <w:p w:rsidR="00370999" w:rsidRPr="0081012B" w:rsidRDefault="00370999" w:rsidP="00C83D44">
            <w:pPr>
              <w:jc w:val="center"/>
              <w:rPr>
                <w:rFonts w:eastAsia="Times New Roman" w:cs="Arial"/>
                <w:sz w:val="20"/>
                <w:szCs w:val="20"/>
                <w:lang w:eastAsia="es-CO"/>
              </w:rPr>
            </w:pPr>
            <w:r w:rsidRPr="0081012B">
              <w:rPr>
                <w:rFonts w:eastAsia="Times New Roman" w:cs="Arial"/>
                <w:sz w:val="20"/>
                <w:szCs w:val="20"/>
                <w:lang w:eastAsia="es-CO"/>
              </w:rPr>
              <w:t>76</w:t>
            </w:r>
          </w:p>
        </w:tc>
      </w:tr>
      <w:tr w:rsidR="00370999" w:rsidRPr="0081012B" w:rsidTr="00370999">
        <w:trPr>
          <w:trHeight w:hRule="exact" w:val="39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rPr>
                <w:rFonts w:eastAsia="Times New Roman" w:cs="Arial"/>
                <w:color w:val="000000"/>
                <w:sz w:val="20"/>
                <w:szCs w:val="20"/>
                <w:lang w:eastAsia="es-CO"/>
              </w:rPr>
            </w:pPr>
            <w:r w:rsidRPr="0081012B">
              <w:rPr>
                <w:rFonts w:eastAsia="Times New Roman" w:cs="Arial"/>
                <w:color w:val="000000"/>
                <w:sz w:val="20"/>
                <w:szCs w:val="20"/>
                <w:lang w:eastAsia="es-CO"/>
              </w:rPr>
              <w:t>En publicación</w:t>
            </w:r>
          </w:p>
        </w:tc>
        <w:tc>
          <w:tcPr>
            <w:tcW w:w="2037" w:type="dxa"/>
            <w:tcBorders>
              <w:top w:val="nil"/>
              <w:left w:val="nil"/>
              <w:bottom w:val="single" w:sz="4" w:space="0" w:color="auto"/>
              <w:right w:val="single" w:sz="4" w:space="0" w:color="auto"/>
            </w:tcBorders>
            <w:shd w:val="clear" w:color="000000" w:fill="FFFFFF"/>
            <w:vAlign w:val="center"/>
            <w:hideMark/>
          </w:tcPr>
          <w:p w:rsidR="00370999" w:rsidRPr="0081012B" w:rsidRDefault="00370999" w:rsidP="00C83D44">
            <w:pPr>
              <w:jc w:val="center"/>
              <w:rPr>
                <w:rFonts w:eastAsia="Times New Roman" w:cs="Arial"/>
                <w:sz w:val="20"/>
                <w:szCs w:val="20"/>
                <w:lang w:eastAsia="es-CO"/>
              </w:rPr>
            </w:pPr>
            <w:r w:rsidRPr="0081012B">
              <w:rPr>
                <w:rFonts w:eastAsia="Times New Roman" w:cs="Arial"/>
                <w:sz w:val="20"/>
                <w:szCs w:val="20"/>
                <w:lang w:eastAsia="es-CO"/>
              </w:rPr>
              <w:t>34</w:t>
            </w:r>
          </w:p>
        </w:tc>
      </w:tr>
      <w:tr w:rsidR="00370999" w:rsidRPr="0081012B" w:rsidTr="00370999">
        <w:trPr>
          <w:trHeight w:hRule="exact" w:val="39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rPr>
                <w:rFonts w:eastAsia="Times New Roman" w:cs="Arial"/>
                <w:color w:val="000000"/>
                <w:sz w:val="20"/>
                <w:szCs w:val="20"/>
                <w:lang w:eastAsia="es-CO"/>
              </w:rPr>
            </w:pPr>
            <w:r w:rsidRPr="0081012B">
              <w:rPr>
                <w:rFonts w:eastAsia="Times New Roman" w:cs="Arial"/>
                <w:color w:val="000000"/>
                <w:sz w:val="20"/>
                <w:szCs w:val="20"/>
                <w:lang w:eastAsia="es-CO"/>
              </w:rPr>
              <w:t>En reclamación</w:t>
            </w:r>
          </w:p>
        </w:tc>
        <w:tc>
          <w:tcPr>
            <w:tcW w:w="2037" w:type="dxa"/>
            <w:tcBorders>
              <w:top w:val="nil"/>
              <w:left w:val="nil"/>
              <w:bottom w:val="single" w:sz="4" w:space="0" w:color="auto"/>
              <w:right w:val="single" w:sz="4" w:space="0" w:color="auto"/>
            </w:tcBorders>
            <w:shd w:val="clear" w:color="000000" w:fill="FFFFFF"/>
            <w:vAlign w:val="center"/>
            <w:hideMark/>
          </w:tcPr>
          <w:p w:rsidR="00370999" w:rsidRPr="0081012B" w:rsidRDefault="00370999" w:rsidP="00C83D44">
            <w:pPr>
              <w:jc w:val="center"/>
              <w:rPr>
                <w:rFonts w:eastAsia="Times New Roman" w:cs="Arial"/>
                <w:sz w:val="20"/>
                <w:szCs w:val="20"/>
                <w:lang w:eastAsia="es-CO"/>
              </w:rPr>
            </w:pPr>
            <w:r w:rsidRPr="0081012B">
              <w:rPr>
                <w:rFonts w:eastAsia="Times New Roman" w:cs="Arial"/>
                <w:sz w:val="20"/>
                <w:szCs w:val="20"/>
                <w:lang w:eastAsia="es-CO"/>
              </w:rPr>
              <w:t>1</w:t>
            </w:r>
          </w:p>
        </w:tc>
      </w:tr>
      <w:tr w:rsidR="00370999" w:rsidRPr="0081012B" w:rsidTr="00370999">
        <w:trPr>
          <w:trHeight w:hRule="exact" w:val="70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70999" w:rsidRPr="0081012B" w:rsidRDefault="00370999" w:rsidP="00C83D44">
            <w:pPr>
              <w:rPr>
                <w:rFonts w:eastAsia="Times New Roman" w:cs="Arial"/>
                <w:color w:val="000000"/>
                <w:sz w:val="20"/>
                <w:szCs w:val="20"/>
                <w:lang w:eastAsia="es-CO"/>
              </w:rPr>
            </w:pPr>
            <w:r w:rsidRPr="0081012B">
              <w:rPr>
                <w:rFonts w:eastAsia="Times New Roman" w:cs="Arial"/>
                <w:color w:val="000000"/>
                <w:sz w:val="20"/>
                <w:szCs w:val="20"/>
                <w:lang w:eastAsia="es-CO"/>
              </w:rPr>
              <w:t>Pendientes provisión después de Ley de Garantías</w:t>
            </w:r>
          </w:p>
        </w:tc>
        <w:tc>
          <w:tcPr>
            <w:tcW w:w="2037" w:type="dxa"/>
            <w:tcBorders>
              <w:top w:val="nil"/>
              <w:left w:val="nil"/>
              <w:bottom w:val="single" w:sz="4" w:space="0" w:color="auto"/>
              <w:right w:val="single" w:sz="4" w:space="0" w:color="auto"/>
            </w:tcBorders>
            <w:shd w:val="clear" w:color="000000" w:fill="FFFFFF"/>
            <w:vAlign w:val="center"/>
            <w:hideMark/>
          </w:tcPr>
          <w:p w:rsidR="00370999" w:rsidRPr="0081012B" w:rsidRDefault="00370999" w:rsidP="00C83D44">
            <w:pPr>
              <w:jc w:val="center"/>
              <w:rPr>
                <w:rFonts w:eastAsia="Times New Roman" w:cs="Arial"/>
                <w:sz w:val="20"/>
                <w:szCs w:val="20"/>
                <w:lang w:eastAsia="es-CO"/>
              </w:rPr>
            </w:pPr>
            <w:r w:rsidRPr="0081012B">
              <w:rPr>
                <w:rFonts w:eastAsia="Times New Roman" w:cs="Arial"/>
                <w:sz w:val="20"/>
                <w:szCs w:val="20"/>
                <w:lang w:eastAsia="es-CO"/>
              </w:rPr>
              <w:t>3</w:t>
            </w:r>
          </w:p>
        </w:tc>
      </w:tr>
      <w:tr w:rsidR="00370999" w:rsidRPr="0081012B" w:rsidTr="00370999">
        <w:trPr>
          <w:trHeight w:hRule="exact" w:val="291"/>
          <w:jc w:val="center"/>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370999" w:rsidRPr="0081012B" w:rsidRDefault="00370999" w:rsidP="00C83D44">
            <w:pPr>
              <w:jc w:val="center"/>
              <w:rPr>
                <w:rFonts w:eastAsia="Times New Roman" w:cs="Arial"/>
                <w:b/>
                <w:bCs/>
                <w:color w:val="000000"/>
                <w:sz w:val="20"/>
                <w:szCs w:val="20"/>
                <w:lang w:eastAsia="es-CO"/>
              </w:rPr>
            </w:pPr>
            <w:r w:rsidRPr="0081012B">
              <w:rPr>
                <w:rFonts w:eastAsia="Times New Roman" w:cs="Arial"/>
                <w:b/>
                <w:bCs/>
                <w:color w:val="000000"/>
                <w:sz w:val="20"/>
                <w:szCs w:val="20"/>
                <w:lang w:eastAsia="es-CO"/>
              </w:rPr>
              <w:t>TOTAL</w:t>
            </w:r>
          </w:p>
        </w:tc>
        <w:tc>
          <w:tcPr>
            <w:tcW w:w="2037" w:type="dxa"/>
            <w:tcBorders>
              <w:top w:val="nil"/>
              <w:left w:val="nil"/>
              <w:bottom w:val="single" w:sz="4" w:space="0" w:color="auto"/>
              <w:right w:val="single" w:sz="4" w:space="0" w:color="auto"/>
            </w:tcBorders>
            <w:shd w:val="clear" w:color="auto" w:fill="auto"/>
            <w:noWrap/>
            <w:vAlign w:val="bottom"/>
            <w:hideMark/>
          </w:tcPr>
          <w:p w:rsidR="00370999" w:rsidRPr="0081012B" w:rsidRDefault="00370999" w:rsidP="00C83D44">
            <w:pPr>
              <w:jc w:val="center"/>
              <w:rPr>
                <w:rFonts w:eastAsia="Times New Roman" w:cs="Arial"/>
                <w:b/>
                <w:bCs/>
                <w:color w:val="000000"/>
                <w:sz w:val="20"/>
                <w:szCs w:val="20"/>
                <w:lang w:eastAsia="es-CO"/>
              </w:rPr>
            </w:pPr>
            <w:r w:rsidRPr="0081012B">
              <w:rPr>
                <w:rFonts w:eastAsia="Times New Roman" w:cs="Arial"/>
                <w:b/>
                <w:bCs/>
                <w:color w:val="000000"/>
                <w:sz w:val="20"/>
                <w:szCs w:val="20"/>
                <w:lang w:eastAsia="es-CO"/>
              </w:rPr>
              <w:t>120</w:t>
            </w:r>
          </w:p>
        </w:tc>
      </w:tr>
    </w:tbl>
    <w:p w:rsidR="00116613" w:rsidRDefault="00116613" w:rsidP="00574F36">
      <w:pPr>
        <w:rPr>
          <w:sz w:val="22"/>
          <w:lang w:eastAsia="es-CO"/>
        </w:rPr>
      </w:pPr>
    </w:p>
    <w:p w:rsidR="00650E7C" w:rsidRDefault="00650E7C" w:rsidP="00B26A65">
      <w:pPr>
        <w:pStyle w:val="Ttulo2"/>
        <w:numPr>
          <w:ilvl w:val="1"/>
          <w:numId w:val="87"/>
        </w:numPr>
      </w:pPr>
      <w:bookmarkStart w:id="155" w:name="_Toc505003499"/>
      <w:r w:rsidRPr="00975A9C">
        <w:lastRenderedPageBreak/>
        <w:t>Gestión Administrativa y Financiera</w:t>
      </w:r>
      <w:bookmarkEnd w:id="153"/>
      <w:bookmarkEnd w:id="154"/>
      <w:bookmarkEnd w:id="155"/>
    </w:p>
    <w:p w:rsidR="00650E7C" w:rsidRPr="00975A9C" w:rsidRDefault="00650E7C" w:rsidP="00650E7C">
      <w:pPr>
        <w:rPr>
          <w:rFonts w:cs="Arial"/>
          <w:sz w:val="22"/>
          <w:lang w:eastAsia="es-CO"/>
        </w:rPr>
      </w:pPr>
      <w:bookmarkStart w:id="156" w:name="_Toc441493544"/>
    </w:p>
    <w:p w:rsidR="00405CB0" w:rsidRPr="00975A9C" w:rsidRDefault="00405CB0" w:rsidP="00405CB0">
      <w:pPr>
        <w:rPr>
          <w:rFonts w:cs="Arial"/>
          <w:sz w:val="22"/>
          <w:lang w:eastAsia="es-CO"/>
        </w:rPr>
      </w:pPr>
      <w:r w:rsidRPr="00975A9C">
        <w:rPr>
          <w:rFonts w:cs="Arial"/>
          <w:sz w:val="22"/>
          <w:lang w:eastAsia="es-CO"/>
        </w:rPr>
        <w:t>La Subdirección Administrativa y Financiera, a través de los procesos financieros, de recursos físicos y de gestión documental realizados por los Grupos que la conforman, brindó el apoyo oportuno y eficiente a los clientes internos y externos de la entidad, garantizando así que los bienes y servicios requeridos por las dependencias cumplieran con los requerimientos mínimos de calidad. Este propósito se logró con la ejecución de los siguientes proyectos:</w:t>
      </w:r>
    </w:p>
    <w:p w:rsidR="00405CB0" w:rsidRPr="006735CE" w:rsidRDefault="00405CB0" w:rsidP="00405CB0">
      <w:pPr>
        <w:rPr>
          <w:rFonts w:cs="Arial"/>
          <w:sz w:val="6"/>
          <w:lang w:eastAsia="es-CO"/>
        </w:rPr>
      </w:pPr>
    </w:p>
    <w:p w:rsidR="00405CB0" w:rsidRPr="00975A9C" w:rsidRDefault="00405CB0" w:rsidP="00405CB0">
      <w:pPr>
        <w:rPr>
          <w:rFonts w:cs="Arial"/>
          <w:sz w:val="22"/>
          <w:u w:val="single"/>
          <w:lang w:eastAsia="es-CO"/>
        </w:rPr>
      </w:pPr>
      <w:r w:rsidRPr="00975A9C">
        <w:rPr>
          <w:rFonts w:cs="Arial"/>
          <w:sz w:val="22"/>
          <w:u w:val="single"/>
          <w:lang w:eastAsia="es-CO"/>
        </w:rPr>
        <w:t>Mejoramiento, adecuación y mantenimiento de las sedes:</w:t>
      </w:r>
    </w:p>
    <w:p w:rsidR="00405CB0" w:rsidRPr="00975A9C" w:rsidRDefault="00405CB0" w:rsidP="00405CB0">
      <w:pPr>
        <w:rPr>
          <w:rFonts w:cs="Arial"/>
          <w:sz w:val="22"/>
          <w:lang w:eastAsia="es-CO"/>
        </w:rPr>
      </w:pPr>
      <w:r w:rsidRPr="00975A9C">
        <w:rPr>
          <w:rFonts w:cs="Arial"/>
          <w:sz w:val="22"/>
          <w:lang w:eastAsia="es-CO"/>
        </w:rPr>
        <w:t xml:space="preserve">De acuerdo con el presupuesto asignado, se adecuó y se realizó mantenimiento a las Direcciones Territoriales de la Guajira y Boyacá y a la Inspección Fluvial Laguna de Tota; la terminación de las obras con el acta de recibo se suscribió el 30 de agosto de 2017. De igual manera, se destinaron recursos para ejecutar las actividades previas requeridas para la demolición de la antigua sede central del Ministerio de Transporte, mediante Convenio suscrito con Agencia Nacional </w:t>
      </w:r>
      <w:r w:rsidR="005B20C8" w:rsidRPr="00975A9C">
        <w:rPr>
          <w:rFonts w:cs="Arial"/>
          <w:sz w:val="22"/>
          <w:lang w:eastAsia="es-CO"/>
        </w:rPr>
        <w:t>Inmobiliaria</w:t>
      </w:r>
      <w:r w:rsidRPr="00975A9C">
        <w:rPr>
          <w:rFonts w:cs="Arial"/>
          <w:sz w:val="22"/>
          <w:lang w:eastAsia="es-CO"/>
        </w:rPr>
        <w:t xml:space="preserve"> Virgilio Barco Vargas. El cumplimiento de la meta fue del 100%.</w:t>
      </w:r>
    </w:p>
    <w:p w:rsidR="00405CB0" w:rsidRPr="006735CE" w:rsidRDefault="00405CB0" w:rsidP="00405CB0">
      <w:pPr>
        <w:rPr>
          <w:rFonts w:cs="Arial"/>
          <w:sz w:val="6"/>
          <w:lang w:eastAsia="es-CO"/>
        </w:rPr>
      </w:pPr>
    </w:p>
    <w:p w:rsidR="00405CB0" w:rsidRPr="00975A9C" w:rsidRDefault="00405CB0" w:rsidP="00405CB0">
      <w:pPr>
        <w:rPr>
          <w:rFonts w:cs="Arial"/>
          <w:sz w:val="22"/>
          <w:u w:val="single"/>
          <w:lang w:eastAsia="es-CO"/>
        </w:rPr>
      </w:pPr>
      <w:r w:rsidRPr="00975A9C">
        <w:rPr>
          <w:rFonts w:cs="Arial"/>
          <w:sz w:val="22"/>
          <w:u w:val="single"/>
          <w:lang w:eastAsia="es-CO"/>
        </w:rPr>
        <w:t>Implementación del correo electrónico certificado:</w:t>
      </w:r>
    </w:p>
    <w:p w:rsidR="00405CB0" w:rsidRPr="00405CB0" w:rsidRDefault="00405CB0" w:rsidP="00405CB0">
      <w:pPr>
        <w:rPr>
          <w:rFonts w:cs="Arial"/>
          <w:sz w:val="22"/>
          <w:lang w:eastAsia="es-CO"/>
        </w:rPr>
      </w:pPr>
      <w:r w:rsidRPr="00975A9C">
        <w:rPr>
          <w:rFonts w:cs="Arial"/>
          <w:sz w:val="22"/>
          <w:lang w:eastAsia="es-CO"/>
        </w:rPr>
        <w:t>Un total de 2.311 usuarios autorizaron al Mini</w:t>
      </w:r>
      <w:r w:rsidRPr="00405CB0">
        <w:rPr>
          <w:rFonts w:cs="Arial"/>
          <w:sz w:val="22"/>
          <w:lang w:eastAsia="es-CO"/>
        </w:rPr>
        <w:t>sterio de Transporte para que les enviara la respuesta a sus solicitudes a través del "Correo Electrónico Certificado", logrando un cumplimiento de la meta del 100%.</w:t>
      </w:r>
    </w:p>
    <w:p w:rsidR="00405CB0" w:rsidRPr="006735CE" w:rsidRDefault="00405CB0" w:rsidP="00405CB0">
      <w:pPr>
        <w:rPr>
          <w:rFonts w:cs="Arial"/>
          <w:sz w:val="6"/>
          <w:lang w:eastAsia="es-CO"/>
        </w:rPr>
      </w:pPr>
    </w:p>
    <w:p w:rsidR="00405CB0" w:rsidRPr="00405CB0" w:rsidRDefault="00405CB0" w:rsidP="00405CB0">
      <w:pPr>
        <w:rPr>
          <w:rFonts w:cs="Arial"/>
          <w:sz w:val="22"/>
          <w:lang w:eastAsia="es-CO"/>
        </w:rPr>
      </w:pPr>
      <w:r w:rsidRPr="00405CB0">
        <w:rPr>
          <w:rFonts w:cs="Arial"/>
          <w:sz w:val="22"/>
          <w:u w:val="single"/>
          <w:lang w:eastAsia="es-CO"/>
        </w:rPr>
        <w:t>Implementación del memorando electrónico</w:t>
      </w:r>
      <w:r>
        <w:rPr>
          <w:rFonts w:cs="Arial"/>
          <w:sz w:val="22"/>
          <w:lang w:eastAsia="es-CO"/>
        </w:rPr>
        <w:t>:</w:t>
      </w:r>
    </w:p>
    <w:p w:rsidR="00405CB0" w:rsidRPr="00405CB0" w:rsidRDefault="00405CB0" w:rsidP="00405CB0">
      <w:pPr>
        <w:rPr>
          <w:rFonts w:cs="Arial"/>
          <w:sz w:val="22"/>
          <w:lang w:eastAsia="es-CO"/>
        </w:rPr>
      </w:pPr>
      <w:r w:rsidRPr="00405CB0">
        <w:rPr>
          <w:rFonts w:cs="Arial"/>
          <w:sz w:val="22"/>
          <w:lang w:eastAsia="es-CO"/>
        </w:rPr>
        <w:t>Durante el año 2017 se realizaron los ajustes y adecuaciones al Sistema de Gestión Documental ORFEO, con el fin de implementar una herramienta para la generación de los memorandos en forma electrónica. Para ello, a partir del 2 de enero de 2018 y por un término de dos (2) meses dicha herramienta estará en versión de “prueba” con el fin de recibir sugerencias y recomendaciones para su mejoramiento.</w:t>
      </w:r>
    </w:p>
    <w:p w:rsidR="00405CB0" w:rsidRPr="006735CE" w:rsidRDefault="00405CB0" w:rsidP="00405CB0">
      <w:pPr>
        <w:rPr>
          <w:rFonts w:cs="Arial"/>
          <w:sz w:val="6"/>
          <w:lang w:eastAsia="es-CO"/>
        </w:rPr>
      </w:pPr>
    </w:p>
    <w:p w:rsidR="00405CB0" w:rsidRPr="00405CB0" w:rsidRDefault="00405CB0" w:rsidP="00405CB0">
      <w:pPr>
        <w:rPr>
          <w:rFonts w:cs="Arial"/>
          <w:sz w:val="22"/>
          <w:lang w:eastAsia="es-CO"/>
        </w:rPr>
      </w:pPr>
      <w:r w:rsidRPr="00405CB0">
        <w:rPr>
          <w:rFonts w:cs="Arial"/>
          <w:sz w:val="22"/>
          <w:lang w:eastAsia="es-CO"/>
        </w:rPr>
        <w:t>Con esta herramienta, la cual será de uso obligatorio a partir del 1 de marzo de 2018, se espera generar un ahorro significativo en el consum</w:t>
      </w:r>
      <w:r w:rsidR="0002457A">
        <w:rPr>
          <w:rFonts w:cs="Arial"/>
          <w:sz w:val="22"/>
          <w:lang w:eastAsia="es-CO"/>
        </w:rPr>
        <w:t>o de papel y demás insumos requ</w:t>
      </w:r>
      <w:r w:rsidRPr="00405CB0">
        <w:rPr>
          <w:rFonts w:cs="Arial"/>
          <w:sz w:val="22"/>
          <w:lang w:eastAsia="es-CO"/>
        </w:rPr>
        <w:t>eridos para la impresión (uso de impresoras, consumo de energía y consumo de tóner o cinta de impresión), contribuyendo así a la sostenibilidad del medio ambiente.</w:t>
      </w:r>
    </w:p>
    <w:p w:rsidR="00405CB0" w:rsidRDefault="00405CB0" w:rsidP="00405CB0">
      <w:pPr>
        <w:rPr>
          <w:rFonts w:cs="Arial"/>
          <w:sz w:val="22"/>
          <w:lang w:eastAsia="es-CO"/>
        </w:rPr>
      </w:pPr>
    </w:p>
    <w:p w:rsidR="000D6B45" w:rsidRPr="00405CB0" w:rsidRDefault="000D6B45" w:rsidP="00405CB0">
      <w:pPr>
        <w:rPr>
          <w:rFonts w:cs="Arial"/>
          <w:sz w:val="22"/>
          <w:lang w:eastAsia="es-CO"/>
        </w:rPr>
      </w:pPr>
    </w:p>
    <w:p w:rsidR="00405CB0" w:rsidRPr="00405CB0" w:rsidRDefault="00405CB0" w:rsidP="00405CB0">
      <w:pPr>
        <w:rPr>
          <w:rFonts w:cs="Arial"/>
          <w:sz w:val="22"/>
          <w:lang w:eastAsia="es-CO"/>
        </w:rPr>
      </w:pPr>
      <w:r w:rsidRPr="00405CB0">
        <w:rPr>
          <w:rFonts w:cs="Arial"/>
          <w:sz w:val="22"/>
          <w:u w:val="single"/>
          <w:lang w:eastAsia="es-CO"/>
        </w:rPr>
        <w:t>Prestación de los servicios de archivo, consulta y préstamo de documentos</w:t>
      </w:r>
      <w:r>
        <w:rPr>
          <w:rFonts w:cs="Arial"/>
          <w:sz w:val="22"/>
          <w:lang w:eastAsia="es-CO"/>
        </w:rPr>
        <w:t>:</w:t>
      </w:r>
    </w:p>
    <w:p w:rsidR="00405CB0" w:rsidRPr="00405CB0" w:rsidRDefault="00405CB0" w:rsidP="00405CB0">
      <w:pPr>
        <w:rPr>
          <w:rFonts w:cs="Arial"/>
          <w:sz w:val="22"/>
          <w:lang w:eastAsia="es-CO"/>
        </w:rPr>
      </w:pPr>
      <w:r w:rsidRPr="00405CB0">
        <w:rPr>
          <w:rFonts w:cs="Arial"/>
          <w:sz w:val="22"/>
          <w:lang w:eastAsia="es-CO"/>
        </w:rPr>
        <w:t>Durante el año 2017 se realizaron 29 transferencias documentales al Archivo Central de igual número de dependencias del Ministerio; así mismo, se atendieron con oportunidad un total de 44.014 solicitudes de consulta y préstamo de documentos en custodia del Grupo de Archivo Central, logrando un cumplimiento de la meta del 100%.</w:t>
      </w:r>
    </w:p>
    <w:p w:rsidR="00405CB0" w:rsidRPr="006735CE" w:rsidRDefault="00405CB0" w:rsidP="00405CB0">
      <w:pPr>
        <w:rPr>
          <w:rFonts w:cs="Arial"/>
          <w:sz w:val="8"/>
          <w:lang w:eastAsia="es-CO"/>
        </w:rPr>
      </w:pPr>
    </w:p>
    <w:p w:rsidR="00405CB0" w:rsidRPr="00405CB0" w:rsidRDefault="00405CB0" w:rsidP="00405CB0">
      <w:pPr>
        <w:rPr>
          <w:rFonts w:cs="Arial"/>
          <w:sz w:val="22"/>
          <w:lang w:eastAsia="es-CO"/>
        </w:rPr>
      </w:pPr>
      <w:r w:rsidRPr="00405CB0">
        <w:rPr>
          <w:rFonts w:cs="Arial"/>
          <w:sz w:val="22"/>
          <w:u w:val="single"/>
          <w:lang w:eastAsia="es-CO"/>
        </w:rPr>
        <w:t>Trámite de las cuentas por pagar</w:t>
      </w:r>
      <w:r>
        <w:rPr>
          <w:rFonts w:cs="Arial"/>
          <w:sz w:val="22"/>
          <w:lang w:eastAsia="es-CO"/>
        </w:rPr>
        <w:t>:</w:t>
      </w:r>
    </w:p>
    <w:p w:rsidR="00405CB0" w:rsidRPr="00405CB0" w:rsidRDefault="00405CB0" w:rsidP="00405CB0">
      <w:pPr>
        <w:rPr>
          <w:rFonts w:cs="Arial"/>
          <w:sz w:val="22"/>
          <w:lang w:eastAsia="es-CO"/>
        </w:rPr>
      </w:pPr>
      <w:r w:rsidRPr="00405CB0">
        <w:rPr>
          <w:rFonts w:cs="Arial"/>
          <w:sz w:val="22"/>
          <w:lang w:eastAsia="es-CO"/>
        </w:rPr>
        <w:t>Durante este año se revisaron y tramitaron un total de 17.835 cuentas (entre obligadas y devueltas para corrección) de las 18.260 cuentas recibidas en el Grupo Central de Cuentas por Pagar, con un cumplimiento del 98% frente a una meta propuesta del 90%.</w:t>
      </w:r>
    </w:p>
    <w:p w:rsidR="00405CB0" w:rsidRPr="006735CE" w:rsidRDefault="00405CB0" w:rsidP="00405CB0">
      <w:pPr>
        <w:rPr>
          <w:rFonts w:cs="Arial"/>
          <w:sz w:val="8"/>
          <w:lang w:eastAsia="es-CO"/>
        </w:rPr>
      </w:pPr>
    </w:p>
    <w:p w:rsidR="00405CB0" w:rsidRPr="00405CB0" w:rsidRDefault="00405CB0" w:rsidP="00405CB0">
      <w:pPr>
        <w:rPr>
          <w:rFonts w:cs="Arial"/>
          <w:sz w:val="22"/>
          <w:lang w:eastAsia="es-CO"/>
        </w:rPr>
      </w:pPr>
      <w:r w:rsidRPr="00405CB0">
        <w:rPr>
          <w:rFonts w:cs="Arial"/>
          <w:sz w:val="22"/>
          <w:u w:val="single"/>
          <w:lang w:eastAsia="es-CO"/>
        </w:rPr>
        <w:t>Atención de solicitudes presupuestales</w:t>
      </w:r>
      <w:r>
        <w:rPr>
          <w:rFonts w:cs="Arial"/>
          <w:sz w:val="22"/>
          <w:lang w:eastAsia="es-CO"/>
        </w:rPr>
        <w:t>:</w:t>
      </w:r>
    </w:p>
    <w:p w:rsidR="00405CB0" w:rsidRPr="00405CB0" w:rsidRDefault="00405CB0" w:rsidP="00405CB0">
      <w:pPr>
        <w:rPr>
          <w:rFonts w:cs="Arial"/>
          <w:sz w:val="22"/>
          <w:lang w:eastAsia="es-CO"/>
        </w:rPr>
      </w:pPr>
      <w:r w:rsidRPr="00405CB0">
        <w:rPr>
          <w:rFonts w:cs="Arial"/>
          <w:sz w:val="22"/>
          <w:lang w:eastAsia="es-CO"/>
        </w:rPr>
        <w:t>Para la ejecución del presupuesto, en la vigencia 2017 se atendieron los requerimientos presupuestales para los procesos de contratación de los proyectos de inversión y para el suministro de bienes y servicios para el funcionamiento de la entidad, acordes con la programación de las dependencias ejecutoras y en aplicación a las normas legales vigentes y a las políticas de austeridad del gasto.</w:t>
      </w:r>
    </w:p>
    <w:p w:rsidR="00405CB0" w:rsidRPr="006735CE" w:rsidRDefault="00405CB0" w:rsidP="00405CB0">
      <w:pPr>
        <w:rPr>
          <w:rFonts w:cs="Arial"/>
          <w:sz w:val="8"/>
          <w:lang w:eastAsia="es-CO"/>
        </w:rPr>
      </w:pPr>
    </w:p>
    <w:p w:rsidR="00405CB0" w:rsidRDefault="00405CB0" w:rsidP="00405CB0">
      <w:pPr>
        <w:rPr>
          <w:rFonts w:cs="Arial"/>
          <w:sz w:val="22"/>
          <w:lang w:eastAsia="es-CO"/>
        </w:rPr>
      </w:pPr>
      <w:r w:rsidRPr="00405CB0">
        <w:rPr>
          <w:rFonts w:cs="Arial"/>
          <w:sz w:val="22"/>
          <w:lang w:eastAsia="es-CO"/>
        </w:rPr>
        <w:t>Con corte al 31 de diciembre de 2017 se expidieron un total  de 1.145 Certificados de Disponibilidad Presupuestal (CDP) y 7.347 Registros Presupuestales (RP), para un total de 8.492 solicitudes atendidas, con un cumplimiento de la meta del 100%. La siguiente tabla muestra por unidad ejecutora los requerimientos presupuestales atendidos durante el año 2017</w:t>
      </w:r>
      <w:r>
        <w:rPr>
          <w:rFonts w:cs="Arial"/>
          <w:sz w:val="22"/>
          <w:lang w:eastAsia="es-CO"/>
        </w:rPr>
        <w:t>:</w:t>
      </w:r>
    </w:p>
    <w:p w:rsidR="00405CB0" w:rsidRPr="006735CE" w:rsidRDefault="00405CB0" w:rsidP="00650E7C">
      <w:pPr>
        <w:rPr>
          <w:rFonts w:cs="Arial"/>
          <w:sz w:val="8"/>
          <w:lang w:eastAsia="es-CO"/>
        </w:rPr>
      </w:pPr>
    </w:p>
    <w:tbl>
      <w:tblPr>
        <w:tblW w:w="8363" w:type="dxa"/>
        <w:jc w:val="center"/>
        <w:tblLayout w:type="fixed"/>
        <w:tblCellMar>
          <w:left w:w="70" w:type="dxa"/>
          <w:right w:w="70" w:type="dxa"/>
        </w:tblCellMar>
        <w:tblLook w:val="04A0" w:firstRow="1" w:lastRow="0" w:firstColumn="1" w:lastColumn="0" w:noHBand="0" w:noVBand="1"/>
      </w:tblPr>
      <w:tblGrid>
        <w:gridCol w:w="850"/>
        <w:gridCol w:w="2693"/>
        <w:gridCol w:w="709"/>
        <w:gridCol w:w="992"/>
        <w:gridCol w:w="709"/>
        <w:gridCol w:w="1134"/>
        <w:gridCol w:w="1276"/>
      </w:tblGrid>
      <w:tr w:rsidR="00405CB0" w:rsidRPr="000D6B45" w:rsidTr="00405CB0">
        <w:trPr>
          <w:trHeight w:val="60"/>
          <w:tblHeader/>
          <w:jc w:val="center"/>
        </w:trPr>
        <w:tc>
          <w:tcPr>
            <w:tcW w:w="3543" w:type="dxa"/>
            <w:gridSpan w:val="2"/>
            <w:tcBorders>
              <w:top w:val="single" w:sz="8" w:space="0" w:color="auto"/>
              <w:left w:val="single" w:sz="8" w:space="0" w:color="auto"/>
              <w:bottom w:val="single" w:sz="4" w:space="0" w:color="auto"/>
              <w:right w:val="single" w:sz="8" w:space="0" w:color="000000"/>
            </w:tcBorders>
            <w:shd w:val="clear" w:color="auto" w:fill="B6DDE8" w:themeFill="accent5" w:themeFillTint="66"/>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Unidad Ejecutora</w:t>
            </w:r>
          </w:p>
        </w:tc>
        <w:tc>
          <w:tcPr>
            <w:tcW w:w="1701" w:type="dxa"/>
            <w:gridSpan w:val="2"/>
            <w:tcBorders>
              <w:top w:val="single" w:sz="8" w:space="0" w:color="auto"/>
              <w:left w:val="nil"/>
              <w:bottom w:val="single" w:sz="4" w:space="0" w:color="auto"/>
              <w:right w:val="single" w:sz="8" w:space="0" w:color="000000"/>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CDP Expedidos</w:t>
            </w:r>
          </w:p>
        </w:tc>
        <w:tc>
          <w:tcPr>
            <w:tcW w:w="1843" w:type="dxa"/>
            <w:gridSpan w:val="2"/>
            <w:tcBorders>
              <w:top w:val="single" w:sz="8" w:space="0" w:color="auto"/>
              <w:left w:val="nil"/>
              <w:bottom w:val="single" w:sz="4" w:space="0" w:color="auto"/>
              <w:right w:val="nil"/>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RP Expedidos</w:t>
            </w:r>
          </w:p>
        </w:tc>
        <w:tc>
          <w:tcPr>
            <w:tcW w:w="1276" w:type="dxa"/>
            <w:vMerge w:val="restart"/>
            <w:tcBorders>
              <w:top w:val="single" w:sz="8" w:space="0" w:color="auto"/>
              <w:left w:val="single" w:sz="8" w:space="0" w:color="auto"/>
              <w:bottom w:val="single" w:sz="4" w:space="0" w:color="auto"/>
              <w:right w:val="single" w:sz="8" w:space="0" w:color="auto"/>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Total Documentos</w:t>
            </w:r>
          </w:p>
        </w:tc>
      </w:tr>
      <w:tr w:rsidR="00405CB0" w:rsidRPr="000D6B45" w:rsidTr="00405CB0">
        <w:trPr>
          <w:trHeight w:val="70"/>
          <w:tblHeader/>
          <w:jc w:val="center"/>
        </w:trPr>
        <w:tc>
          <w:tcPr>
            <w:tcW w:w="8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Código</w:t>
            </w:r>
          </w:p>
        </w:tc>
        <w:tc>
          <w:tcPr>
            <w:tcW w:w="2693"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Nombre</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Del</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Al</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Del</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Al</w:t>
            </w:r>
          </w:p>
        </w:tc>
        <w:tc>
          <w:tcPr>
            <w:tcW w:w="1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Gestión General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813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6.586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7.399</w:t>
            </w: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SITM</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326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413</w:t>
            </w: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2</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Sobretasa a la Gasolina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12</w:t>
            </w: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4</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Plan Vial Regional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226</w:t>
            </w: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5</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RUNT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250</w:t>
            </w: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6</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Política S</w:t>
            </w:r>
            <w:r w:rsidRPr="000D6B45">
              <w:rPr>
                <w:rFonts w:ascii="Arial" w:eastAsia="Times New Roman" w:hAnsi="Arial" w:cs="Arial"/>
                <w:bCs/>
                <w:sz w:val="18"/>
                <w:szCs w:val="20"/>
                <w:lang w:eastAsia="es-CO"/>
              </w:rPr>
              <w:t>eguridad</w:t>
            </w:r>
            <w:r w:rsidRPr="000D6B45">
              <w:rPr>
                <w:rFonts w:ascii="Arial" w:eastAsia="Times New Roman" w:hAnsi="Arial" w:cs="Arial"/>
                <w:sz w:val="18"/>
                <w:szCs w:val="20"/>
                <w:lang w:eastAsia="es-CO"/>
              </w:rPr>
              <w:t xml:space="preserve"> Vial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17</w:t>
            </w:r>
          </w:p>
        </w:tc>
      </w:tr>
      <w:tr w:rsidR="00405CB0" w:rsidRPr="000D6B45" w:rsidTr="00405CB0">
        <w:trPr>
          <w:trHeight w:val="6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Política Nacional de L</w:t>
            </w:r>
            <w:r w:rsidRPr="000D6B45">
              <w:rPr>
                <w:rFonts w:ascii="Arial" w:eastAsia="Times New Roman" w:hAnsi="Arial" w:cs="Arial"/>
                <w:bCs/>
                <w:sz w:val="18"/>
                <w:szCs w:val="20"/>
                <w:lang w:eastAsia="es-CO"/>
              </w:rPr>
              <w:t>ogística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sz w:val="18"/>
                <w:szCs w:val="20"/>
                <w:lang w:eastAsia="es-CO"/>
              </w:rPr>
            </w:pPr>
            <w:r w:rsidRPr="000D6B45">
              <w:rPr>
                <w:rFonts w:ascii="Arial" w:eastAsia="Times New Roman" w:hAnsi="Arial" w:cs="Arial"/>
                <w:sz w:val="18"/>
                <w:szCs w:val="20"/>
                <w:lang w:eastAsia="es-CO"/>
              </w:rPr>
              <w:t>175</w:t>
            </w:r>
          </w:p>
        </w:tc>
      </w:tr>
      <w:tr w:rsidR="00405CB0" w:rsidRPr="000D6B45" w:rsidTr="00405CB0">
        <w:trPr>
          <w:trHeight w:val="7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both"/>
              <w:rPr>
                <w:rFonts w:ascii="Arial" w:eastAsia="Times New Roman" w:hAnsi="Arial" w:cs="Arial"/>
                <w:sz w:val="18"/>
                <w:szCs w:val="20"/>
                <w:lang w:eastAsia="es-CO"/>
              </w:rPr>
            </w:pPr>
            <w:r w:rsidRPr="000D6B45">
              <w:rPr>
                <w:rFonts w:ascii="Arial" w:eastAsia="Times New Roman" w:hAnsi="Arial" w:cs="Arial"/>
                <w:sz w:val="18"/>
                <w:szCs w:val="20"/>
                <w:lang w:eastAsia="es-CO"/>
              </w:rPr>
              <w:t>TOTALES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1.145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7.347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CB0" w:rsidRPr="000D6B45" w:rsidRDefault="00405CB0" w:rsidP="009E63D9">
            <w:pPr>
              <w:pStyle w:val="Sinespaciado"/>
              <w:spacing w:line="360" w:lineRule="auto"/>
              <w:jc w:val="center"/>
              <w:rPr>
                <w:rFonts w:ascii="Arial" w:eastAsia="Times New Roman" w:hAnsi="Arial" w:cs="Arial"/>
                <w:bCs/>
                <w:sz w:val="18"/>
                <w:szCs w:val="20"/>
                <w:lang w:eastAsia="es-CO"/>
              </w:rPr>
            </w:pPr>
            <w:r w:rsidRPr="000D6B45">
              <w:rPr>
                <w:rFonts w:ascii="Arial" w:eastAsia="Times New Roman" w:hAnsi="Arial" w:cs="Arial"/>
                <w:bCs/>
                <w:sz w:val="18"/>
                <w:szCs w:val="20"/>
                <w:lang w:eastAsia="es-CO"/>
              </w:rPr>
              <w:t>8.492</w:t>
            </w:r>
          </w:p>
        </w:tc>
      </w:tr>
    </w:tbl>
    <w:p w:rsidR="00405CB0" w:rsidRDefault="00405CB0" w:rsidP="00650E7C">
      <w:pPr>
        <w:rPr>
          <w:rFonts w:cs="Arial"/>
          <w:sz w:val="22"/>
          <w:lang w:eastAsia="es-CO"/>
        </w:rPr>
      </w:pPr>
    </w:p>
    <w:p w:rsidR="00405CB0" w:rsidRPr="000D6B45" w:rsidRDefault="00405CB0" w:rsidP="00405CB0">
      <w:pPr>
        <w:pStyle w:val="Sinespaciado"/>
        <w:spacing w:line="360" w:lineRule="auto"/>
        <w:jc w:val="both"/>
        <w:rPr>
          <w:rFonts w:ascii="Arial" w:hAnsi="Arial" w:cs="Arial"/>
          <w:u w:val="single"/>
        </w:rPr>
      </w:pPr>
      <w:r w:rsidRPr="000D6B45">
        <w:rPr>
          <w:rFonts w:ascii="Arial" w:hAnsi="Arial" w:cs="Arial"/>
          <w:u w:val="single"/>
        </w:rPr>
        <w:lastRenderedPageBreak/>
        <w:t>Clasificación de los ingresos registrados en el aplicativo SIIF:</w:t>
      </w:r>
    </w:p>
    <w:p w:rsidR="00405CB0" w:rsidRPr="000D6B45" w:rsidRDefault="00405CB0" w:rsidP="00405CB0">
      <w:pPr>
        <w:pStyle w:val="Sinespaciado"/>
        <w:spacing w:line="360" w:lineRule="auto"/>
        <w:jc w:val="both"/>
        <w:rPr>
          <w:rFonts w:ascii="Arial" w:hAnsi="Arial" w:cs="Arial"/>
        </w:rPr>
      </w:pPr>
      <w:r w:rsidRPr="000D6B45">
        <w:rPr>
          <w:rFonts w:ascii="Arial" w:hAnsi="Arial" w:cs="Arial"/>
        </w:rPr>
        <w:t>Durante el año 2017 se clasificaron en el aplicativo SIIF II un total de 1.866 documentos de los 1.970 que aparecen registrados en dicho aplicativo, con un cumplimiento del 95%. A la fecha de cierre del módulo de ingresos (20 de enero de 2018) se espera tener clasificado el 100% de los recaudos registrados con corte al 31 de diciembre de 2017.</w:t>
      </w:r>
    </w:p>
    <w:p w:rsidR="00405CB0" w:rsidRPr="006735CE" w:rsidRDefault="00405CB0" w:rsidP="00B53186">
      <w:pPr>
        <w:pStyle w:val="Sinespaciado"/>
        <w:spacing w:line="360" w:lineRule="auto"/>
        <w:jc w:val="both"/>
        <w:rPr>
          <w:rFonts w:ascii="Arial" w:hAnsi="Arial" w:cs="Arial"/>
          <w:sz w:val="10"/>
        </w:rPr>
      </w:pPr>
    </w:p>
    <w:p w:rsidR="00405CB0" w:rsidRPr="000D6B45" w:rsidRDefault="00405CB0" w:rsidP="00405CB0">
      <w:pPr>
        <w:rPr>
          <w:rFonts w:cs="Arial"/>
          <w:sz w:val="22"/>
          <w:lang w:eastAsia="es-CO"/>
        </w:rPr>
      </w:pPr>
      <w:r w:rsidRPr="000D6B45">
        <w:rPr>
          <w:rFonts w:cs="Arial"/>
        </w:rPr>
        <w:t>Los ingresos generados por el Ministerio y registrados en el Aplicativo SIIF en los últimos tres (3) años, presentan el siguiente comportamiento</w:t>
      </w:r>
      <w:r w:rsidR="009E63D9" w:rsidRPr="000D6B45">
        <w:rPr>
          <w:rFonts w:cs="Arial"/>
        </w:rPr>
        <w:t>:</w:t>
      </w:r>
    </w:p>
    <w:p w:rsidR="00405CB0" w:rsidRPr="006735CE" w:rsidRDefault="00405CB0" w:rsidP="00650E7C">
      <w:pPr>
        <w:rPr>
          <w:rFonts w:cs="Arial"/>
          <w:sz w:val="10"/>
          <w:lang w:eastAsia="es-CO"/>
        </w:rPr>
      </w:pPr>
    </w:p>
    <w:tbl>
      <w:tblPr>
        <w:tblW w:w="8402" w:type="dxa"/>
        <w:jc w:val="center"/>
        <w:tblCellMar>
          <w:left w:w="0" w:type="dxa"/>
          <w:right w:w="0" w:type="dxa"/>
        </w:tblCellMar>
        <w:tblLook w:val="04A0" w:firstRow="1" w:lastRow="0" w:firstColumn="1" w:lastColumn="0" w:noHBand="0" w:noVBand="1"/>
      </w:tblPr>
      <w:tblGrid>
        <w:gridCol w:w="850"/>
        <w:gridCol w:w="1384"/>
        <w:gridCol w:w="1072"/>
        <w:gridCol w:w="1231"/>
        <w:gridCol w:w="1366"/>
        <w:gridCol w:w="1159"/>
        <w:gridCol w:w="1340"/>
      </w:tblGrid>
      <w:tr w:rsidR="009E63D9" w:rsidRPr="00B53186" w:rsidTr="009E63D9">
        <w:trPr>
          <w:trHeight w:val="703"/>
          <w:jc w:val="center"/>
        </w:trPr>
        <w:tc>
          <w:tcPr>
            <w:tcW w:w="850" w:type="dxa"/>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Año</w:t>
            </w:r>
          </w:p>
        </w:tc>
        <w:tc>
          <w:tcPr>
            <w:tcW w:w="1384" w:type="dxa"/>
            <w:tcBorders>
              <w:top w:val="single" w:sz="8" w:space="0" w:color="auto"/>
              <w:left w:val="nil"/>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Formularios y Especies Valoradas</w:t>
            </w:r>
          </w:p>
        </w:tc>
        <w:tc>
          <w:tcPr>
            <w:tcW w:w="1072" w:type="dxa"/>
            <w:tcBorders>
              <w:top w:val="single" w:sz="8" w:space="0" w:color="auto"/>
              <w:left w:val="nil"/>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Reposición Vehicular</w:t>
            </w:r>
          </w:p>
        </w:tc>
        <w:tc>
          <w:tcPr>
            <w:tcW w:w="1231" w:type="dxa"/>
            <w:tcBorders>
              <w:top w:val="single" w:sz="8" w:space="0" w:color="auto"/>
              <w:left w:val="nil"/>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Fondo Cuenta RUNT</w:t>
            </w:r>
          </w:p>
        </w:tc>
        <w:tc>
          <w:tcPr>
            <w:tcW w:w="1366" w:type="dxa"/>
            <w:tcBorders>
              <w:top w:val="single" w:sz="8" w:space="0" w:color="auto"/>
              <w:left w:val="nil"/>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Fondo Sobretasa a la Gasolina</w:t>
            </w:r>
          </w:p>
        </w:tc>
        <w:tc>
          <w:tcPr>
            <w:tcW w:w="1159" w:type="dxa"/>
            <w:tcBorders>
              <w:top w:val="single" w:sz="8" w:space="0" w:color="auto"/>
              <w:left w:val="nil"/>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Otros Conceptos</w:t>
            </w:r>
          </w:p>
        </w:tc>
        <w:tc>
          <w:tcPr>
            <w:tcW w:w="1340" w:type="dxa"/>
            <w:tcBorders>
              <w:top w:val="single" w:sz="8" w:space="0" w:color="auto"/>
              <w:left w:val="nil"/>
              <w:bottom w:val="single" w:sz="8" w:space="0" w:color="auto"/>
              <w:right w:val="single" w:sz="8" w:space="0" w:color="auto"/>
            </w:tcBorders>
            <w:shd w:val="clear" w:color="auto" w:fill="B6DDE8" w:themeFill="accent5" w:themeFillTint="66"/>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lang w:eastAsia="es-CO"/>
              </w:rPr>
            </w:pPr>
            <w:r w:rsidRPr="00B53186">
              <w:rPr>
                <w:rFonts w:ascii="Arial" w:hAnsi="Arial" w:cs="Arial"/>
                <w:bCs/>
                <w:sz w:val="18"/>
                <w:szCs w:val="20"/>
                <w:lang w:eastAsia="es-CO"/>
              </w:rPr>
              <w:t>Total Recaudo</w:t>
            </w:r>
          </w:p>
        </w:tc>
      </w:tr>
      <w:tr w:rsidR="009E63D9" w:rsidRPr="00B53186" w:rsidTr="009E63D9">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2015</w:t>
            </w:r>
          </w:p>
        </w:tc>
        <w:tc>
          <w:tcPr>
            <w:tcW w:w="1384"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124.683</w:t>
            </w:r>
          </w:p>
        </w:tc>
        <w:tc>
          <w:tcPr>
            <w:tcW w:w="1072"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5.997</w:t>
            </w:r>
          </w:p>
        </w:tc>
        <w:tc>
          <w:tcPr>
            <w:tcW w:w="1231"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3.448</w:t>
            </w:r>
          </w:p>
        </w:tc>
        <w:tc>
          <w:tcPr>
            <w:tcW w:w="1366"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20.046</w:t>
            </w:r>
          </w:p>
        </w:tc>
        <w:tc>
          <w:tcPr>
            <w:tcW w:w="1159"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12.957</w:t>
            </w:r>
          </w:p>
        </w:tc>
        <w:tc>
          <w:tcPr>
            <w:tcW w:w="1340"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167.131</w:t>
            </w:r>
          </w:p>
        </w:tc>
      </w:tr>
      <w:tr w:rsidR="009E63D9" w:rsidRPr="00B53186" w:rsidTr="009E63D9">
        <w:trPr>
          <w:trHeight w:val="315"/>
          <w:jc w:val="center"/>
        </w:trPr>
        <w:tc>
          <w:tcPr>
            <w:tcW w:w="850" w:type="dxa"/>
            <w:tcBorders>
              <w:top w:val="nil"/>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2016</w:t>
            </w:r>
          </w:p>
        </w:tc>
        <w:tc>
          <w:tcPr>
            <w:tcW w:w="1384"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125.069</w:t>
            </w:r>
          </w:p>
        </w:tc>
        <w:tc>
          <w:tcPr>
            <w:tcW w:w="107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3.472</w:t>
            </w:r>
          </w:p>
        </w:tc>
        <w:tc>
          <w:tcPr>
            <w:tcW w:w="1231"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3.613</w:t>
            </w:r>
          </w:p>
        </w:tc>
        <w:tc>
          <w:tcPr>
            <w:tcW w:w="136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21.599</w:t>
            </w:r>
          </w:p>
        </w:tc>
        <w:tc>
          <w:tcPr>
            <w:tcW w:w="1159"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11.996</w:t>
            </w:r>
          </w:p>
        </w:tc>
        <w:tc>
          <w:tcPr>
            <w:tcW w:w="1340"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165.749</w:t>
            </w:r>
          </w:p>
        </w:tc>
      </w:tr>
      <w:tr w:rsidR="009E63D9" w:rsidRPr="00B53186" w:rsidTr="009E63D9">
        <w:trPr>
          <w:trHeight w:val="330"/>
          <w:jc w:val="center"/>
        </w:trPr>
        <w:tc>
          <w:tcPr>
            <w:tcW w:w="850" w:type="dxa"/>
            <w:tcBorders>
              <w:top w:val="nil"/>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2017</w:t>
            </w:r>
          </w:p>
        </w:tc>
        <w:tc>
          <w:tcPr>
            <w:tcW w:w="1384"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121.143</w:t>
            </w:r>
          </w:p>
        </w:tc>
        <w:tc>
          <w:tcPr>
            <w:tcW w:w="107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5.975</w:t>
            </w:r>
          </w:p>
        </w:tc>
        <w:tc>
          <w:tcPr>
            <w:tcW w:w="1231"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3.609</w:t>
            </w:r>
          </w:p>
        </w:tc>
        <w:tc>
          <w:tcPr>
            <w:tcW w:w="136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21.097</w:t>
            </w:r>
          </w:p>
        </w:tc>
        <w:tc>
          <w:tcPr>
            <w:tcW w:w="1159"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12.292</w:t>
            </w:r>
          </w:p>
        </w:tc>
        <w:tc>
          <w:tcPr>
            <w:tcW w:w="1340"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sz w:val="18"/>
                <w:szCs w:val="20"/>
              </w:rPr>
            </w:pPr>
            <w:r w:rsidRPr="00B53186">
              <w:rPr>
                <w:rFonts w:ascii="Arial" w:hAnsi="Arial" w:cs="Arial"/>
                <w:sz w:val="18"/>
                <w:szCs w:val="20"/>
              </w:rPr>
              <w:t>164.116</w:t>
            </w:r>
          </w:p>
        </w:tc>
      </w:tr>
      <w:tr w:rsidR="009E63D9" w:rsidRPr="00B53186" w:rsidTr="009E63D9">
        <w:trPr>
          <w:trHeight w:val="330"/>
          <w:jc w:val="center"/>
        </w:trPr>
        <w:tc>
          <w:tcPr>
            <w:tcW w:w="850" w:type="dxa"/>
            <w:tcBorders>
              <w:top w:val="nil"/>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TOTAL</w:t>
            </w:r>
          </w:p>
        </w:tc>
        <w:tc>
          <w:tcPr>
            <w:tcW w:w="1384"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370.895</w:t>
            </w:r>
          </w:p>
        </w:tc>
        <w:tc>
          <w:tcPr>
            <w:tcW w:w="107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15.444</w:t>
            </w:r>
          </w:p>
        </w:tc>
        <w:tc>
          <w:tcPr>
            <w:tcW w:w="1231"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10.670</w:t>
            </w:r>
          </w:p>
        </w:tc>
        <w:tc>
          <w:tcPr>
            <w:tcW w:w="136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62.742</w:t>
            </w:r>
          </w:p>
        </w:tc>
        <w:tc>
          <w:tcPr>
            <w:tcW w:w="1159"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37.245</w:t>
            </w:r>
          </w:p>
        </w:tc>
        <w:tc>
          <w:tcPr>
            <w:tcW w:w="1340"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hideMark/>
          </w:tcPr>
          <w:p w:rsidR="009E63D9" w:rsidRPr="00B53186" w:rsidRDefault="009E63D9" w:rsidP="009E63D9">
            <w:pPr>
              <w:pStyle w:val="Sinespaciado"/>
              <w:spacing w:line="360" w:lineRule="auto"/>
              <w:jc w:val="center"/>
              <w:rPr>
                <w:rFonts w:ascii="Arial" w:hAnsi="Arial" w:cs="Arial"/>
                <w:bCs/>
                <w:sz w:val="18"/>
                <w:szCs w:val="20"/>
              </w:rPr>
            </w:pPr>
            <w:r w:rsidRPr="00B53186">
              <w:rPr>
                <w:rFonts w:ascii="Arial" w:hAnsi="Arial" w:cs="Arial"/>
                <w:bCs/>
                <w:sz w:val="18"/>
                <w:szCs w:val="20"/>
              </w:rPr>
              <w:t>496.996</w:t>
            </w:r>
          </w:p>
        </w:tc>
      </w:tr>
    </w:tbl>
    <w:p w:rsidR="009E63D9" w:rsidRDefault="009E63D9" w:rsidP="00650E7C">
      <w:pPr>
        <w:rPr>
          <w:rFonts w:cs="Arial"/>
          <w:sz w:val="22"/>
          <w:lang w:eastAsia="es-CO"/>
        </w:rPr>
      </w:pPr>
    </w:p>
    <w:p w:rsidR="009E63D9" w:rsidRPr="009E63D9" w:rsidRDefault="009E63D9" w:rsidP="009E63D9">
      <w:pPr>
        <w:rPr>
          <w:rFonts w:cs="Arial"/>
          <w:sz w:val="22"/>
          <w:u w:val="single"/>
          <w:lang w:eastAsia="es-CO"/>
        </w:rPr>
      </w:pPr>
      <w:r w:rsidRPr="009E63D9">
        <w:rPr>
          <w:rFonts w:cs="Arial"/>
          <w:sz w:val="22"/>
          <w:u w:val="single"/>
          <w:lang w:eastAsia="es-CO"/>
        </w:rPr>
        <w:t>Contratación de bienes y servicios de gastos generales</w:t>
      </w:r>
      <w:r>
        <w:rPr>
          <w:rFonts w:cs="Arial"/>
          <w:sz w:val="22"/>
          <w:u w:val="single"/>
          <w:lang w:eastAsia="es-CO"/>
        </w:rPr>
        <w:t>:</w:t>
      </w:r>
    </w:p>
    <w:p w:rsidR="009E63D9" w:rsidRPr="009E63D9" w:rsidRDefault="009E63D9" w:rsidP="009E63D9">
      <w:pPr>
        <w:rPr>
          <w:rFonts w:cs="Arial"/>
          <w:sz w:val="22"/>
          <w:lang w:eastAsia="es-CO"/>
        </w:rPr>
      </w:pPr>
      <w:r w:rsidRPr="009E63D9">
        <w:rPr>
          <w:rFonts w:cs="Arial"/>
          <w:sz w:val="22"/>
          <w:lang w:eastAsia="es-CO"/>
        </w:rPr>
        <w:t xml:space="preserve">Durante el año 2017 se comprometieron recursos por $19.424 millones de pesos para la adquisición de bienes e insumos (papelería, útiles de escritorio y oficina, muebles y equipos, tóner, elementos de seguridad industrial, dotación, ferretería y combustible, entre otros) y la adquisición de servicios (arrendamiento de sedes, vehículos blindados, </w:t>
      </w:r>
      <w:r w:rsidR="00B53186" w:rsidRPr="009E63D9">
        <w:rPr>
          <w:rFonts w:cs="Arial"/>
          <w:sz w:val="22"/>
          <w:lang w:eastAsia="es-CO"/>
        </w:rPr>
        <w:t>polígrafo</w:t>
      </w:r>
      <w:r w:rsidRPr="009E63D9">
        <w:rPr>
          <w:rFonts w:cs="Arial"/>
          <w:sz w:val="22"/>
          <w:lang w:eastAsia="es-CO"/>
        </w:rPr>
        <w:t>, vigilancia, aseo y cafetería, mantenimiento de vehículos y equipos, correspondencia, transporte de personal, operación de aeronaves, fotocopiado,  suscripciones y publicaciones, suministro de tiquetes y seguros). Así mismo, se atendieron los gastos relacionados con comisiones de servicio, cuotas de administración y servicios públicos por un valor cercano a los $2.353 millones de pesos.</w:t>
      </w:r>
    </w:p>
    <w:p w:rsidR="009E63D9" w:rsidRPr="006735CE"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u w:val="single"/>
          <w:lang w:eastAsia="es-CO"/>
        </w:rPr>
        <w:t>Atención de requerimientos de mantenimiento en Bogotá</w:t>
      </w:r>
      <w:r>
        <w:rPr>
          <w:rFonts w:cs="Arial"/>
          <w:sz w:val="22"/>
          <w:lang w:eastAsia="es-CO"/>
        </w:rPr>
        <w:t>:</w:t>
      </w:r>
    </w:p>
    <w:p w:rsidR="009E63D9" w:rsidRPr="009E63D9" w:rsidRDefault="009E63D9" w:rsidP="009E63D9">
      <w:pPr>
        <w:rPr>
          <w:rFonts w:cs="Arial"/>
          <w:sz w:val="22"/>
          <w:lang w:eastAsia="es-CO"/>
        </w:rPr>
      </w:pPr>
      <w:r w:rsidRPr="009E63D9">
        <w:rPr>
          <w:rFonts w:cs="Arial"/>
          <w:sz w:val="22"/>
          <w:lang w:eastAsia="es-CO"/>
        </w:rPr>
        <w:t xml:space="preserve">Durante el año se realizaron trabajos de mantenimiento y adecuación de espacios de algunas dependencias del Ministerio, tales como: acondicionamiento de puestos de trabajo, mantenimiento de luminarias, instalaciones eléctricas y de cableado y sistemas de audio y video. De otra parte, con la entrega de la sede </w:t>
      </w:r>
      <w:r w:rsidR="00112250" w:rsidRPr="009E63D9">
        <w:rPr>
          <w:rFonts w:cs="Arial"/>
          <w:sz w:val="22"/>
          <w:lang w:eastAsia="es-CO"/>
        </w:rPr>
        <w:t>antigua</w:t>
      </w:r>
      <w:r w:rsidRPr="009E63D9">
        <w:rPr>
          <w:rFonts w:cs="Arial"/>
          <w:sz w:val="22"/>
          <w:lang w:eastAsia="es-CO"/>
        </w:rPr>
        <w:t xml:space="preserve"> se reubicaron bienes muebles, elementos y enseres en las bodegas de Fontibón y en la Unidad Deportiva.</w:t>
      </w:r>
    </w:p>
    <w:p w:rsidR="009E63D9" w:rsidRPr="009E63D9" w:rsidRDefault="009E63D9" w:rsidP="009E63D9">
      <w:pPr>
        <w:rPr>
          <w:rFonts w:cs="Arial"/>
          <w:sz w:val="22"/>
          <w:lang w:eastAsia="es-CO"/>
        </w:rPr>
      </w:pPr>
    </w:p>
    <w:p w:rsidR="009E63D9" w:rsidRPr="009E63D9" w:rsidRDefault="009E63D9" w:rsidP="009E63D9">
      <w:pPr>
        <w:rPr>
          <w:rFonts w:cs="Arial"/>
          <w:sz w:val="22"/>
          <w:u w:val="single"/>
          <w:lang w:eastAsia="es-CO"/>
        </w:rPr>
      </w:pPr>
      <w:r w:rsidRPr="009E63D9">
        <w:rPr>
          <w:rFonts w:cs="Arial"/>
          <w:sz w:val="22"/>
          <w:u w:val="single"/>
          <w:lang w:eastAsia="es-CO"/>
        </w:rPr>
        <w:t>Implementación de las normas NICSP:</w:t>
      </w:r>
    </w:p>
    <w:p w:rsidR="009E63D9" w:rsidRPr="009E63D9" w:rsidRDefault="009E63D9" w:rsidP="009E63D9">
      <w:pPr>
        <w:rPr>
          <w:rFonts w:cs="Arial"/>
          <w:sz w:val="22"/>
          <w:lang w:eastAsia="es-CO"/>
        </w:rPr>
      </w:pPr>
      <w:r w:rsidRPr="009E63D9">
        <w:rPr>
          <w:rFonts w:cs="Arial"/>
          <w:sz w:val="22"/>
          <w:lang w:eastAsia="es-CO"/>
        </w:rPr>
        <w:t>En desarrollo del contrato de consultoría con la firma KPMG, se realizaron las siguientes actividades:</w:t>
      </w:r>
    </w:p>
    <w:p w:rsidR="009E63D9" w:rsidRPr="000C3469" w:rsidRDefault="009E63D9" w:rsidP="009E63D9">
      <w:pPr>
        <w:rPr>
          <w:rFonts w:cs="Arial"/>
          <w:sz w:val="10"/>
          <w:lang w:eastAsia="es-CO"/>
        </w:rPr>
      </w:pPr>
    </w:p>
    <w:p w:rsidR="009E63D9" w:rsidRPr="009E63D9" w:rsidRDefault="009E63D9" w:rsidP="00442CAC">
      <w:pPr>
        <w:pStyle w:val="Prrafodelista"/>
        <w:numPr>
          <w:ilvl w:val="0"/>
          <w:numId w:val="52"/>
        </w:numPr>
        <w:rPr>
          <w:rFonts w:cs="Arial"/>
          <w:sz w:val="22"/>
          <w:lang w:eastAsia="es-CO"/>
        </w:rPr>
      </w:pPr>
      <w:r w:rsidRPr="009E63D9">
        <w:rPr>
          <w:rFonts w:cs="Arial"/>
          <w:sz w:val="22"/>
          <w:lang w:eastAsia="es-CO"/>
        </w:rPr>
        <w:t>Se efectuó la capacitación de sensibilización del nuevo marco normativo a los funcionarios de las dependencias que intervienen como generadores de información contable y financiera;</w:t>
      </w:r>
    </w:p>
    <w:p w:rsidR="009E63D9" w:rsidRPr="009E63D9" w:rsidRDefault="009E63D9" w:rsidP="00442CAC">
      <w:pPr>
        <w:pStyle w:val="Prrafodelista"/>
        <w:numPr>
          <w:ilvl w:val="0"/>
          <w:numId w:val="52"/>
        </w:numPr>
        <w:rPr>
          <w:rFonts w:cs="Arial"/>
          <w:sz w:val="22"/>
          <w:lang w:eastAsia="es-CO"/>
        </w:rPr>
      </w:pPr>
      <w:r w:rsidRPr="009E63D9">
        <w:rPr>
          <w:rFonts w:cs="Arial"/>
          <w:sz w:val="22"/>
          <w:lang w:eastAsia="es-CO"/>
        </w:rPr>
        <w:t>Se realizaron mesas de trabajo con cada uno de los grupos que generan información contable y financiera, a fin de analizar la información sobre las partidas que son objeto de depuración;</w:t>
      </w:r>
    </w:p>
    <w:p w:rsidR="009E63D9" w:rsidRPr="009E63D9" w:rsidRDefault="009E63D9" w:rsidP="00442CAC">
      <w:pPr>
        <w:pStyle w:val="Prrafodelista"/>
        <w:numPr>
          <w:ilvl w:val="0"/>
          <w:numId w:val="52"/>
        </w:numPr>
        <w:rPr>
          <w:rFonts w:cs="Arial"/>
          <w:sz w:val="22"/>
          <w:lang w:eastAsia="es-CO"/>
        </w:rPr>
      </w:pPr>
      <w:r w:rsidRPr="009E63D9">
        <w:rPr>
          <w:rFonts w:cs="Arial"/>
          <w:sz w:val="22"/>
          <w:lang w:eastAsia="es-CO"/>
        </w:rPr>
        <w:t>Se definió un modelo de la homologación a las nuevas subcuentas contables, respecto de las partidas que son objeto de eliminación, reclasificación, y los métodos de valuación de los activos y pasivos a la luz de la nueva norma, así como el modelo de los registros que quedarán como saldos iniciales para la vigencia del año 2018;</w:t>
      </w:r>
    </w:p>
    <w:p w:rsidR="009E63D9" w:rsidRPr="009E63D9" w:rsidRDefault="009E63D9" w:rsidP="00442CAC">
      <w:pPr>
        <w:pStyle w:val="Prrafodelista"/>
        <w:numPr>
          <w:ilvl w:val="0"/>
          <w:numId w:val="52"/>
        </w:numPr>
        <w:rPr>
          <w:rFonts w:cs="Arial"/>
          <w:sz w:val="22"/>
          <w:lang w:eastAsia="es-CO"/>
        </w:rPr>
      </w:pPr>
      <w:r w:rsidRPr="009E63D9">
        <w:rPr>
          <w:rFonts w:cs="Arial"/>
          <w:sz w:val="22"/>
          <w:lang w:eastAsia="es-CO"/>
        </w:rPr>
        <w:t>Se elaboró el Manual de Políticas Contables, el cual se encuentra en revisión y ajuste definitivo; y</w:t>
      </w:r>
    </w:p>
    <w:p w:rsidR="009E63D9" w:rsidRPr="009E63D9" w:rsidRDefault="009E63D9" w:rsidP="00442CAC">
      <w:pPr>
        <w:pStyle w:val="Prrafodelista"/>
        <w:numPr>
          <w:ilvl w:val="0"/>
          <w:numId w:val="52"/>
        </w:numPr>
        <w:rPr>
          <w:rFonts w:cs="Arial"/>
          <w:sz w:val="22"/>
          <w:lang w:eastAsia="es-CO"/>
        </w:rPr>
      </w:pPr>
      <w:r w:rsidRPr="009E63D9">
        <w:rPr>
          <w:rFonts w:cs="Arial"/>
          <w:sz w:val="22"/>
          <w:lang w:eastAsia="es-CO"/>
        </w:rPr>
        <w:t>Se adelantó la depuración de saldos con base en la información que se obtuvo de parte de los Grupos donde se genera y/o administra la información contable y financiera.</w:t>
      </w:r>
    </w:p>
    <w:p w:rsidR="009E63D9" w:rsidRPr="000C3469" w:rsidRDefault="009E63D9" w:rsidP="009E63D9">
      <w:pPr>
        <w:rPr>
          <w:rFonts w:cs="Arial"/>
          <w:sz w:val="8"/>
          <w:lang w:eastAsia="es-CO"/>
        </w:rPr>
      </w:pPr>
    </w:p>
    <w:p w:rsidR="009E63D9" w:rsidRPr="009E63D9" w:rsidRDefault="009E63D9" w:rsidP="009E63D9">
      <w:pPr>
        <w:rPr>
          <w:rFonts w:cs="Arial"/>
          <w:sz w:val="22"/>
          <w:lang w:eastAsia="es-CO"/>
        </w:rPr>
      </w:pPr>
      <w:r w:rsidRPr="009E63D9">
        <w:rPr>
          <w:rFonts w:cs="Arial"/>
          <w:sz w:val="22"/>
          <w:lang w:eastAsia="es-CO"/>
        </w:rPr>
        <w:t>De otra parte, durante el año se presentaron en forma oportuna los informes trimestrales y los boletines semestrales de deudores morosos del Estado a la Contaduría General de la Nación y la rendición de la cuenta anual a la Contraloría General de la República, y se atendieron los requerimientos de los diferentes entes de control y de la Comisión Legal de Cuentas de la Honorable Cámara de Representantes.</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Respecto de los estados contables de la vigencia 2016, se obtuvo un dictamen positivo con salvedades, logrando una ostensible mejora en la calificación con relación al dictamen de la vigencia 2015 (el cual fue negativo).</w:t>
      </w:r>
    </w:p>
    <w:p w:rsidR="009E63D9" w:rsidRPr="000C3469" w:rsidRDefault="009E63D9" w:rsidP="009E63D9">
      <w:pPr>
        <w:rPr>
          <w:rFonts w:cs="Arial"/>
          <w:sz w:val="14"/>
          <w:lang w:eastAsia="es-CO"/>
        </w:rPr>
      </w:pPr>
    </w:p>
    <w:p w:rsidR="009E63D9" w:rsidRPr="009E63D9" w:rsidRDefault="009E63D9" w:rsidP="009E63D9">
      <w:pPr>
        <w:rPr>
          <w:rFonts w:cs="Arial"/>
          <w:sz w:val="22"/>
          <w:u w:val="single"/>
          <w:lang w:eastAsia="es-CO"/>
        </w:rPr>
      </w:pPr>
      <w:r w:rsidRPr="009E63D9">
        <w:rPr>
          <w:rFonts w:cs="Arial"/>
          <w:sz w:val="22"/>
          <w:u w:val="single"/>
          <w:lang w:eastAsia="es-CO"/>
        </w:rPr>
        <w:t>Administración de los bienes inmuebles</w:t>
      </w:r>
      <w:r>
        <w:rPr>
          <w:rFonts w:cs="Arial"/>
          <w:sz w:val="22"/>
          <w:u w:val="single"/>
          <w:lang w:eastAsia="es-CO"/>
        </w:rPr>
        <w:t>:</w:t>
      </w:r>
    </w:p>
    <w:p w:rsidR="009E63D9" w:rsidRPr="009E63D9" w:rsidRDefault="009E63D9" w:rsidP="009E63D9">
      <w:pPr>
        <w:rPr>
          <w:rFonts w:cs="Arial"/>
          <w:sz w:val="22"/>
          <w:lang w:eastAsia="es-CO"/>
        </w:rPr>
      </w:pPr>
      <w:r w:rsidRPr="009E63D9">
        <w:rPr>
          <w:rFonts w:cs="Arial"/>
          <w:sz w:val="22"/>
          <w:lang w:eastAsia="es-CO"/>
        </w:rPr>
        <w:t>En materia de inmuebles, se cancelaron en forma oportuna el impuesto predial de cada uno de predios del Ministerio de Transporte, obteniendo descuentos por pronto pago y evitando la generación de intereses de mora.</w:t>
      </w:r>
    </w:p>
    <w:p w:rsidR="009E63D9" w:rsidRPr="009E63D9" w:rsidRDefault="009E63D9" w:rsidP="009E63D9">
      <w:pPr>
        <w:rPr>
          <w:rFonts w:cs="Arial"/>
          <w:sz w:val="22"/>
          <w:lang w:eastAsia="es-CO"/>
        </w:rPr>
      </w:pPr>
    </w:p>
    <w:p w:rsidR="009E63D9" w:rsidRPr="009E63D9" w:rsidRDefault="009E63D9" w:rsidP="009E63D9">
      <w:pPr>
        <w:rPr>
          <w:rFonts w:cs="Arial"/>
          <w:sz w:val="22"/>
          <w:lang w:eastAsia="es-CO"/>
        </w:rPr>
      </w:pPr>
      <w:r w:rsidRPr="009E63D9">
        <w:rPr>
          <w:rFonts w:cs="Arial"/>
          <w:sz w:val="22"/>
          <w:lang w:eastAsia="es-CO"/>
        </w:rPr>
        <w:t>De otra parte, se actualizó el inventario de bienes inmuebles (en uso, desuso, y entregados y recibidos en comodato), incluyendo 55 inmuebles que figuran a nombre de entidades del sector ya liquidadas (Ferrocarriles Nacionales de Colombia, Fondo Vial Nacional, etc),  realizándose la conciliación con el Grupo de Contabilidad respecto de dicho inventario.</w:t>
      </w:r>
    </w:p>
    <w:p w:rsidR="009E63D9" w:rsidRPr="000C3469" w:rsidRDefault="009E63D9" w:rsidP="009E63D9">
      <w:pPr>
        <w:rPr>
          <w:rFonts w:cs="Arial"/>
          <w:sz w:val="16"/>
          <w:lang w:eastAsia="es-CO"/>
        </w:rPr>
      </w:pPr>
    </w:p>
    <w:p w:rsidR="009E63D9" w:rsidRPr="009E63D9" w:rsidRDefault="009E63D9" w:rsidP="009E63D9">
      <w:pPr>
        <w:rPr>
          <w:rFonts w:cs="Arial"/>
          <w:sz w:val="22"/>
          <w:u w:val="single"/>
          <w:lang w:eastAsia="es-CO"/>
        </w:rPr>
      </w:pPr>
      <w:r w:rsidRPr="009E63D9">
        <w:rPr>
          <w:rFonts w:cs="Arial"/>
          <w:sz w:val="22"/>
          <w:u w:val="single"/>
          <w:lang w:eastAsia="es-CO"/>
        </w:rPr>
        <w:t>Inventario y suministros:</w:t>
      </w:r>
    </w:p>
    <w:p w:rsidR="009E63D9" w:rsidRPr="009E63D9" w:rsidRDefault="009E63D9" w:rsidP="009E63D9">
      <w:pPr>
        <w:rPr>
          <w:rFonts w:cs="Arial"/>
          <w:sz w:val="22"/>
          <w:lang w:eastAsia="es-CO"/>
        </w:rPr>
      </w:pPr>
      <w:r w:rsidRPr="009E63D9">
        <w:rPr>
          <w:rFonts w:cs="Arial"/>
          <w:sz w:val="22"/>
          <w:lang w:eastAsia="es-CO"/>
        </w:rPr>
        <w:t>En lo relacionado con el suministro de insumos y consumibles de cada una de las dependencias del Ministerio de Transporte a nivel nacional, se entregaron en los términos para el normal funcionamiento de la Entidad.</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Se trasladaron los bienes muebles que se encontraban en la sede antigua de planta central, ubicada en el CAN, a la sede en Gran Estación II y a la bodega de Fontibón.</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De otra parte, se depuraron los inventarios de bienes muebles de propiedad del Ministerio de Transporte y los recibidos de terceros, a través del levantamiento físico de bienes en bodega, en uso y reintegrados, el cruce de información documental y la revisión y verificación de boletines contables, lo que permitió en conjunto con el área contable conciliar la cuenta Propiedad, Planta y Equipo en un 90%.</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Se depuró y migró la información de inventarios que se tenía en una base de datos en Dbase al nuevo aplicativo denominado “Sistema Administración de Elementos - SAE y Sistema Administración de Inventarios – SAI”, herramienta informática que permite tener un mejor control de los elementos adquiridos y entregados a todas las dependencias del Ministerio de Transporte.</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Por último, se organizaron los bienes muebles que por su obsolescencia o por no ser requeridos por la Entidad, fueron reintegrados por los funcionarios y comodatarios para ser dados de baja de los inventarios y de la cuenta propiedad, planta y equipo, los cuales se encuentran almacenados en la bodega de materiales ubicada en Fontibón.</w:t>
      </w:r>
    </w:p>
    <w:p w:rsidR="009E63D9" w:rsidRPr="000C3469" w:rsidRDefault="009E63D9" w:rsidP="009E63D9">
      <w:pPr>
        <w:rPr>
          <w:rFonts w:cs="Arial"/>
          <w:sz w:val="12"/>
          <w:lang w:eastAsia="es-CO"/>
        </w:rPr>
      </w:pPr>
    </w:p>
    <w:p w:rsidR="009E63D9" w:rsidRPr="009E63D9" w:rsidRDefault="009E63D9" w:rsidP="009E63D9">
      <w:pPr>
        <w:rPr>
          <w:rFonts w:cs="Arial"/>
          <w:sz w:val="22"/>
          <w:u w:val="single"/>
          <w:lang w:eastAsia="es-CO"/>
        </w:rPr>
      </w:pPr>
      <w:r w:rsidRPr="009E63D9">
        <w:rPr>
          <w:rFonts w:cs="Arial"/>
          <w:sz w:val="22"/>
          <w:u w:val="single"/>
          <w:lang w:eastAsia="es-CO"/>
        </w:rPr>
        <w:t>Prestación de los servicios de transporte para los funcionarios del Ministerio:</w:t>
      </w:r>
    </w:p>
    <w:p w:rsidR="009E63D9" w:rsidRPr="009E63D9" w:rsidRDefault="009E63D9" w:rsidP="009E63D9">
      <w:pPr>
        <w:rPr>
          <w:rFonts w:cs="Arial"/>
          <w:sz w:val="22"/>
          <w:lang w:eastAsia="es-CO"/>
        </w:rPr>
      </w:pPr>
      <w:r w:rsidRPr="009E63D9">
        <w:rPr>
          <w:rFonts w:cs="Arial"/>
          <w:sz w:val="22"/>
          <w:lang w:eastAsia="es-CO"/>
        </w:rPr>
        <w:t xml:space="preserve">Con el fin de mejorar el servicio de transporte que se le brinda a los funcionarios con  vehículos propios, se viene evaluando el desempeño del grupo de conductores respecto de </w:t>
      </w:r>
      <w:r w:rsidRPr="009E63D9">
        <w:rPr>
          <w:rFonts w:cs="Arial"/>
          <w:sz w:val="22"/>
          <w:lang w:eastAsia="es-CO"/>
        </w:rPr>
        <w:lastRenderedPageBreak/>
        <w:t xml:space="preserve">variables como: i) cumplimiento de normas y señales de </w:t>
      </w:r>
      <w:r w:rsidR="00112250" w:rsidRPr="009E63D9">
        <w:rPr>
          <w:rFonts w:cs="Arial"/>
          <w:sz w:val="22"/>
          <w:lang w:eastAsia="es-CO"/>
        </w:rPr>
        <w:t>tránsito</w:t>
      </w:r>
      <w:r w:rsidRPr="009E63D9">
        <w:rPr>
          <w:rFonts w:cs="Arial"/>
          <w:sz w:val="22"/>
          <w:lang w:eastAsia="es-CO"/>
        </w:rPr>
        <w:t xml:space="preserve">; ii) trato respetuoso; iii) estado general del </w:t>
      </w:r>
      <w:r w:rsidR="00112250" w:rsidRPr="009E63D9">
        <w:rPr>
          <w:rFonts w:cs="Arial"/>
          <w:sz w:val="22"/>
          <w:lang w:eastAsia="es-CO"/>
        </w:rPr>
        <w:t>vehículo</w:t>
      </w:r>
      <w:r w:rsidRPr="009E63D9">
        <w:rPr>
          <w:rFonts w:cs="Arial"/>
          <w:sz w:val="22"/>
          <w:lang w:eastAsia="es-CO"/>
        </w:rPr>
        <w:t xml:space="preserve"> (aseo); iv) puntualidad en la prestación del servicio.</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De otra parte, durante el año 2017 se continuó prestando el servicio de transporte colectivo para el personal de la entidad, mediante la contratación de 11 rutas a través de los Contratos 369 de 2016 (del 23 de enero al 3 de marzo de 2017) y 284 de 2017 (del 6 de marzo al 18 de diciembre de 2017). Tales rutas fueron compartidas con otras 10 contratadas por el INVIAS.</w:t>
      </w:r>
    </w:p>
    <w:p w:rsidR="009E63D9" w:rsidRPr="000C3469" w:rsidRDefault="009E63D9" w:rsidP="009E63D9">
      <w:pPr>
        <w:rPr>
          <w:rFonts w:cs="Arial"/>
          <w:sz w:val="12"/>
          <w:lang w:eastAsia="es-CO"/>
        </w:rPr>
      </w:pPr>
    </w:p>
    <w:p w:rsidR="009E63D9" w:rsidRPr="009E63D9" w:rsidRDefault="009E63D9" w:rsidP="009E63D9">
      <w:pPr>
        <w:rPr>
          <w:rFonts w:cs="Arial"/>
          <w:sz w:val="22"/>
          <w:u w:val="single"/>
          <w:lang w:eastAsia="es-CO"/>
        </w:rPr>
      </w:pPr>
      <w:r w:rsidRPr="009E63D9">
        <w:rPr>
          <w:rFonts w:cs="Arial"/>
          <w:sz w:val="22"/>
          <w:u w:val="single"/>
          <w:lang w:eastAsia="es-CO"/>
        </w:rPr>
        <w:t>Atención de requerimientos en términos de ley:</w:t>
      </w:r>
    </w:p>
    <w:p w:rsidR="009E63D9" w:rsidRPr="009E63D9" w:rsidRDefault="009E63D9" w:rsidP="009E63D9">
      <w:pPr>
        <w:rPr>
          <w:rFonts w:cs="Arial"/>
          <w:sz w:val="22"/>
          <w:lang w:eastAsia="es-CO"/>
        </w:rPr>
      </w:pPr>
      <w:r w:rsidRPr="009E63D9">
        <w:rPr>
          <w:rFonts w:cs="Arial"/>
          <w:sz w:val="22"/>
          <w:lang w:eastAsia="es-CO"/>
        </w:rPr>
        <w:t>Durante el año 2017 se atendieron dentro de los términos concedidos los diferentes requerimientos que llegaron a la Subdirección Administrativa y Financiera, tales como:</w:t>
      </w:r>
    </w:p>
    <w:p w:rsidR="009E63D9" w:rsidRPr="000C3469" w:rsidRDefault="009E63D9" w:rsidP="009E63D9">
      <w:pPr>
        <w:rPr>
          <w:rFonts w:cs="Arial"/>
          <w:sz w:val="12"/>
          <w:lang w:eastAsia="es-CO"/>
        </w:rPr>
      </w:pPr>
    </w:p>
    <w:p w:rsidR="009E63D9" w:rsidRPr="009E63D9" w:rsidRDefault="009E63D9" w:rsidP="00442CAC">
      <w:pPr>
        <w:pStyle w:val="Prrafodelista"/>
        <w:numPr>
          <w:ilvl w:val="0"/>
          <w:numId w:val="53"/>
        </w:numPr>
        <w:rPr>
          <w:rFonts w:cs="Arial"/>
          <w:sz w:val="22"/>
          <w:lang w:eastAsia="es-CO"/>
        </w:rPr>
      </w:pPr>
      <w:r w:rsidRPr="009E63D9">
        <w:rPr>
          <w:rFonts w:cs="Arial"/>
          <w:sz w:val="22"/>
          <w:lang w:eastAsia="es-CO"/>
        </w:rPr>
        <w:t>Solicitud del 6 de marzo de 2017 de la Comisión Legal de Cuentas de la Cámara de Representantes, la cual fue atendida con oficio del 15 de marzo de 2017;</w:t>
      </w:r>
    </w:p>
    <w:p w:rsidR="009E63D9" w:rsidRPr="009E63D9" w:rsidRDefault="009E63D9" w:rsidP="00442CAC">
      <w:pPr>
        <w:pStyle w:val="Prrafodelista"/>
        <w:numPr>
          <w:ilvl w:val="0"/>
          <w:numId w:val="53"/>
        </w:numPr>
        <w:rPr>
          <w:rFonts w:cs="Arial"/>
          <w:sz w:val="22"/>
          <w:lang w:eastAsia="es-CO"/>
        </w:rPr>
      </w:pPr>
      <w:r w:rsidRPr="009E63D9">
        <w:rPr>
          <w:rFonts w:cs="Arial"/>
          <w:sz w:val="22"/>
          <w:lang w:eastAsia="es-CO"/>
        </w:rPr>
        <w:t>Solicitud del 29 de marzo de 2017 del Tribunal de Arbitramento de la Cámara de Comercio de Bogotá, dentro del proceso iniciado por la Concesión RUNT S.A. contra el Ministerio de Transporte, para el pago del 50% de los honorarios y gastos de arbitraje, el cual fue realizado el 6 de abril de 2017;</w:t>
      </w:r>
    </w:p>
    <w:p w:rsidR="009E63D9" w:rsidRPr="009E63D9" w:rsidRDefault="009E63D9" w:rsidP="00442CAC">
      <w:pPr>
        <w:pStyle w:val="Prrafodelista"/>
        <w:numPr>
          <w:ilvl w:val="0"/>
          <w:numId w:val="53"/>
        </w:numPr>
        <w:rPr>
          <w:rFonts w:cs="Arial"/>
          <w:sz w:val="22"/>
          <w:lang w:eastAsia="es-CO"/>
        </w:rPr>
      </w:pPr>
      <w:r w:rsidRPr="009E63D9">
        <w:rPr>
          <w:rFonts w:cs="Arial"/>
          <w:sz w:val="22"/>
          <w:lang w:eastAsia="es-CO"/>
        </w:rPr>
        <w:t>Solicitud del 20 de abril de 2017 de la Procuraduría Delegada para la Economía y Hacienda Pública, la cual fue atendida el 2 de mayo de 2017;</w:t>
      </w:r>
    </w:p>
    <w:p w:rsidR="009E63D9" w:rsidRPr="009E63D9" w:rsidRDefault="009E63D9" w:rsidP="00442CAC">
      <w:pPr>
        <w:pStyle w:val="Prrafodelista"/>
        <w:numPr>
          <w:ilvl w:val="0"/>
          <w:numId w:val="53"/>
        </w:numPr>
        <w:rPr>
          <w:rFonts w:cs="Arial"/>
          <w:sz w:val="22"/>
          <w:lang w:eastAsia="es-CO"/>
        </w:rPr>
      </w:pPr>
      <w:r w:rsidRPr="009E63D9">
        <w:rPr>
          <w:rFonts w:cs="Arial"/>
          <w:sz w:val="22"/>
          <w:lang w:eastAsia="es-CO"/>
        </w:rPr>
        <w:t>Solicitud del 25 de septiembre de 2017 de la Contralaría General de la República para el pago de la tarifa de control Fiscal del año 2017, el cual fue realizado el 10 de octubre de 2017.</w:t>
      </w:r>
    </w:p>
    <w:p w:rsidR="00B84F84" w:rsidRPr="000C3469" w:rsidRDefault="00B84F84" w:rsidP="009E63D9">
      <w:pPr>
        <w:rPr>
          <w:rFonts w:cs="Arial"/>
          <w:sz w:val="12"/>
          <w:lang w:eastAsia="es-CO"/>
        </w:rPr>
      </w:pPr>
    </w:p>
    <w:p w:rsidR="009E63D9" w:rsidRPr="00F64DEE" w:rsidRDefault="009E63D9" w:rsidP="009E63D9">
      <w:pPr>
        <w:rPr>
          <w:rFonts w:cs="Arial"/>
          <w:b/>
          <w:sz w:val="22"/>
          <w:lang w:eastAsia="es-CO"/>
        </w:rPr>
      </w:pPr>
      <w:r w:rsidRPr="00F64DEE">
        <w:rPr>
          <w:rFonts w:cs="Arial"/>
          <w:b/>
          <w:sz w:val="22"/>
          <w:lang w:eastAsia="es-CO"/>
        </w:rPr>
        <w:t>Logros alcanzados</w:t>
      </w:r>
    </w:p>
    <w:p w:rsidR="009E63D9" w:rsidRPr="009E63D9" w:rsidRDefault="009E63D9" w:rsidP="009E63D9">
      <w:pPr>
        <w:rPr>
          <w:rFonts w:cs="Arial"/>
          <w:sz w:val="22"/>
          <w:lang w:eastAsia="es-CO"/>
        </w:rPr>
      </w:pPr>
      <w:r w:rsidRPr="009E63D9">
        <w:rPr>
          <w:rFonts w:cs="Arial"/>
          <w:sz w:val="22"/>
          <w:lang w:eastAsia="es-CO"/>
        </w:rPr>
        <w:t>Dentro del Proceso de Gestión Documental se logró:</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Mantener un promedio de tiempo de respuesta a las consultas de información en el Archivo Central inferior a los 15 días calendario, con las limitantes tecnológicas y de recurso humano que se presentaron en la vigencia;</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Migrar la información existente de la base de datos WINISIS al Sistema de Gestión Documental ORFEO, mejorando así la búsqueda de documentos en un menor tiempo;</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lastRenderedPageBreak/>
        <w:t>Capacitar a los funcionarios de Planta Central, Direcciones Territoriales e Inspecciones Fluviales en el uso de los archivos, la correspondencia, las Tablas de Retención Documental (TRD) y el Formato Único de Inventario Documental (FUID);</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Socializar el Manual de Correspondencia, el Manual de Archivo y las normas de archivos;</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Actualizar las Tablas de Retención Documental del Ministerio;</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 xml:space="preserve">Implementar y socializar la nueva versión del Sistema de Gestión Documental ORFEO; </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Implementar el “Correo Electrónico Certificado” por parte de 4-72, aumentando el envío de respuestas e información a los usuarios; e</w:t>
      </w:r>
    </w:p>
    <w:p w:rsidR="009E63D9" w:rsidRPr="00F64DEE" w:rsidRDefault="009E63D9" w:rsidP="00442CAC">
      <w:pPr>
        <w:pStyle w:val="Prrafodelista"/>
        <w:numPr>
          <w:ilvl w:val="0"/>
          <w:numId w:val="54"/>
        </w:numPr>
        <w:rPr>
          <w:rFonts w:cs="Arial"/>
          <w:sz w:val="22"/>
          <w:lang w:eastAsia="es-CO"/>
        </w:rPr>
      </w:pPr>
      <w:r w:rsidRPr="00F64DEE">
        <w:rPr>
          <w:rFonts w:cs="Arial"/>
          <w:sz w:val="22"/>
          <w:lang w:eastAsia="es-CO"/>
        </w:rPr>
        <w:t>Implementar el “Memorando Electrónico”, que inicia en fase de prueba el 2 de enero del 2018.</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En el Proceso de Gestión Financiera se logró:</w:t>
      </w:r>
    </w:p>
    <w:p w:rsidR="009E63D9" w:rsidRPr="00F64DEE" w:rsidRDefault="009E63D9" w:rsidP="00442CAC">
      <w:pPr>
        <w:pStyle w:val="Prrafodelista"/>
        <w:numPr>
          <w:ilvl w:val="0"/>
          <w:numId w:val="55"/>
        </w:numPr>
        <w:rPr>
          <w:rFonts w:cs="Arial"/>
          <w:sz w:val="22"/>
          <w:lang w:eastAsia="es-CO"/>
        </w:rPr>
      </w:pPr>
      <w:r w:rsidRPr="00F64DEE">
        <w:rPr>
          <w:rFonts w:cs="Arial"/>
          <w:sz w:val="22"/>
          <w:lang w:eastAsia="es-CO"/>
        </w:rPr>
        <w:t>Mantener un promedio de tiempo de trámite de cuentas desde su recepción en el Grupo Central de Cuentas por Pagar y hasta su pago (existiendo disponibilidad de PAC) en cinco (5) días hábiles;</w:t>
      </w:r>
    </w:p>
    <w:p w:rsidR="009E63D9" w:rsidRPr="00F64DEE" w:rsidRDefault="009E63D9" w:rsidP="00442CAC">
      <w:pPr>
        <w:pStyle w:val="Prrafodelista"/>
        <w:numPr>
          <w:ilvl w:val="0"/>
          <w:numId w:val="55"/>
        </w:numPr>
        <w:rPr>
          <w:rFonts w:cs="Arial"/>
          <w:sz w:val="22"/>
          <w:lang w:eastAsia="es-CO"/>
        </w:rPr>
      </w:pPr>
      <w:r w:rsidRPr="00F64DEE">
        <w:rPr>
          <w:rFonts w:cs="Arial"/>
          <w:sz w:val="22"/>
          <w:lang w:eastAsia="es-CO"/>
        </w:rPr>
        <w:t>Una opinión positiva con salvedades de parte de la Contraloría General de República, respecto de la razonabilidad de los estados contables al 31 de diciembre de 2016;</w:t>
      </w:r>
    </w:p>
    <w:p w:rsidR="009E63D9" w:rsidRPr="00F64DEE" w:rsidRDefault="009E63D9" w:rsidP="00442CAC">
      <w:pPr>
        <w:pStyle w:val="Prrafodelista"/>
        <w:numPr>
          <w:ilvl w:val="0"/>
          <w:numId w:val="55"/>
        </w:numPr>
        <w:rPr>
          <w:rFonts w:cs="Arial"/>
          <w:sz w:val="22"/>
          <w:lang w:eastAsia="es-CO"/>
        </w:rPr>
      </w:pPr>
      <w:r w:rsidRPr="00F64DEE">
        <w:rPr>
          <w:rFonts w:cs="Arial"/>
          <w:sz w:val="22"/>
          <w:lang w:eastAsia="es-CO"/>
        </w:rPr>
        <w:t xml:space="preserve">Cumplir con los porcentajes máximos permitidos por la ley para las reservas presupuestales del año 2017 de gastos de funcionamiento (2%) e inversión (15%).    </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En el Proceso de Recursos Físicos y Administrativos se logró:</w:t>
      </w:r>
    </w:p>
    <w:p w:rsidR="009E63D9" w:rsidRPr="00F64DEE" w:rsidRDefault="009E63D9" w:rsidP="00442CAC">
      <w:pPr>
        <w:pStyle w:val="Prrafodelista"/>
        <w:numPr>
          <w:ilvl w:val="0"/>
          <w:numId w:val="56"/>
        </w:numPr>
        <w:rPr>
          <w:rFonts w:cs="Arial"/>
          <w:sz w:val="22"/>
          <w:lang w:eastAsia="es-CO"/>
        </w:rPr>
      </w:pPr>
      <w:r w:rsidRPr="00F64DEE">
        <w:rPr>
          <w:rFonts w:cs="Arial"/>
          <w:sz w:val="22"/>
          <w:lang w:eastAsia="es-CO"/>
        </w:rPr>
        <w:t>Registrar contablemente al 31 de diciembre de 2017 los 55 inmuebles que figuran a nombre de los Ferrocarriles Nacionales y del Fondo Vial Nacional;</w:t>
      </w:r>
    </w:p>
    <w:p w:rsidR="009E63D9" w:rsidRPr="00F64DEE" w:rsidRDefault="009E63D9" w:rsidP="00442CAC">
      <w:pPr>
        <w:pStyle w:val="Prrafodelista"/>
        <w:numPr>
          <w:ilvl w:val="0"/>
          <w:numId w:val="56"/>
        </w:numPr>
        <w:rPr>
          <w:rFonts w:cs="Arial"/>
          <w:sz w:val="22"/>
          <w:lang w:eastAsia="es-CO"/>
        </w:rPr>
      </w:pPr>
      <w:r w:rsidRPr="00F64DEE">
        <w:rPr>
          <w:rFonts w:cs="Arial"/>
          <w:sz w:val="22"/>
          <w:lang w:eastAsia="es-CO"/>
        </w:rPr>
        <w:t>Registrar contablemente los bienes inmuebles recibidos en comodato por parte del INVIAS para el funcionamiento de algunas sedes de las Direcciones Territoriales;</w:t>
      </w:r>
    </w:p>
    <w:p w:rsidR="000C3469" w:rsidRDefault="009E63D9" w:rsidP="009E63D9">
      <w:pPr>
        <w:pStyle w:val="Prrafodelista"/>
        <w:numPr>
          <w:ilvl w:val="0"/>
          <w:numId w:val="56"/>
        </w:numPr>
        <w:rPr>
          <w:rFonts w:cs="Arial"/>
          <w:sz w:val="22"/>
          <w:lang w:eastAsia="es-CO"/>
        </w:rPr>
      </w:pPr>
      <w:r w:rsidRPr="00F64DEE">
        <w:rPr>
          <w:rFonts w:cs="Arial"/>
          <w:sz w:val="22"/>
          <w:lang w:eastAsia="es-CO"/>
        </w:rPr>
        <w:t xml:space="preserve">Hacer entrega de la </w:t>
      </w:r>
      <w:r w:rsidR="00B84F84" w:rsidRPr="00F64DEE">
        <w:rPr>
          <w:rFonts w:cs="Arial"/>
          <w:sz w:val="22"/>
          <w:lang w:eastAsia="es-CO"/>
        </w:rPr>
        <w:t>antigua</w:t>
      </w:r>
      <w:r w:rsidRPr="00F64DEE">
        <w:rPr>
          <w:rFonts w:cs="Arial"/>
          <w:sz w:val="22"/>
          <w:lang w:eastAsia="es-CO"/>
        </w:rPr>
        <w:t xml:space="preserve"> sede del Ministerio de Transporte a la Agencia Nacional Inmobiliaria Virgilio Barco Vargas para su demolición como parte del Proyecto de Renovación Urbana del CAN;</w:t>
      </w:r>
    </w:p>
    <w:p w:rsidR="009E63D9" w:rsidRPr="000C3469" w:rsidRDefault="009E63D9" w:rsidP="009E63D9">
      <w:pPr>
        <w:pStyle w:val="Prrafodelista"/>
        <w:numPr>
          <w:ilvl w:val="0"/>
          <w:numId w:val="56"/>
        </w:numPr>
        <w:rPr>
          <w:rFonts w:cs="Arial"/>
          <w:sz w:val="22"/>
          <w:lang w:eastAsia="es-CO"/>
        </w:rPr>
      </w:pPr>
      <w:r w:rsidRPr="000C3469">
        <w:rPr>
          <w:rFonts w:cs="Arial"/>
          <w:sz w:val="22"/>
          <w:lang w:eastAsia="es-CO"/>
        </w:rPr>
        <w:t>Realizar labores de mantenimiento a las instalaciones, a la planta telefónica y al mobiliario de archivo de las Direcciones Territoriales de Antioquia, Meta, Risaralda y Valle del Cauca, con funcionarios del Grupo Administración Recursos Físicos.</w:t>
      </w:r>
    </w:p>
    <w:p w:rsidR="009E63D9" w:rsidRPr="009E63D9" w:rsidRDefault="009E63D9" w:rsidP="009E63D9">
      <w:pPr>
        <w:rPr>
          <w:rFonts w:cs="Arial"/>
          <w:sz w:val="22"/>
          <w:lang w:eastAsia="es-CO"/>
        </w:rPr>
      </w:pPr>
    </w:p>
    <w:p w:rsidR="009E63D9" w:rsidRPr="00F64DEE" w:rsidRDefault="009E63D9" w:rsidP="009E63D9">
      <w:pPr>
        <w:rPr>
          <w:rFonts w:cs="Arial"/>
          <w:b/>
          <w:sz w:val="22"/>
          <w:lang w:eastAsia="es-CO"/>
        </w:rPr>
      </w:pPr>
      <w:r w:rsidRPr="00F64DEE">
        <w:rPr>
          <w:rFonts w:cs="Arial"/>
          <w:b/>
          <w:sz w:val="22"/>
          <w:lang w:eastAsia="es-CO"/>
        </w:rPr>
        <w:t>Retos para el año 2018</w:t>
      </w:r>
    </w:p>
    <w:p w:rsidR="009E63D9" w:rsidRPr="009E63D9" w:rsidRDefault="009E63D9" w:rsidP="009E63D9">
      <w:pPr>
        <w:rPr>
          <w:rFonts w:cs="Arial"/>
          <w:sz w:val="22"/>
          <w:lang w:eastAsia="es-CO"/>
        </w:rPr>
      </w:pPr>
      <w:r w:rsidRPr="009E63D9">
        <w:rPr>
          <w:rFonts w:cs="Arial"/>
          <w:sz w:val="22"/>
          <w:lang w:eastAsia="es-CO"/>
        </w:rPr>
        <w:t>En materia de eficiencia administrativa, los retos de la Subdirección en lo relacionado con la Gestión Documental se concentrarán en:</w:t>
      </w:r>
    </w:p>
    <w:p w:rsidR="009E63D9" w:rsidRPr="000C3469" w:rsidRDefault="009E63D9" w:rsidP="009E63D9">
      <w:pPr>
        <w:rPr>
          <w:rFonts w:cs="Arial"/>
          <w:sz w:val="12"/>
          <w:lang w:eastAsia="es-CO"/>
        </w:rPr>
      </w:pP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Digitalizar los archivos existentes, en especial las hojas de vida de los ex servidores de las diferentes entidades del Sector Transporte, las relaciones de tiempos de servicio (RTS) y las planillas de nómina;</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Aplicar las Tablas de Retención Documental en el  Archivo Central, a fin de descartar una buena parte del acervo documental;</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 xml:space="preserve">Organizar los archivos de gestión y capacitar en temas de archivo a los funcionarios de  las Inspecciones Fluviales que están en el Sistema de Gestión Documental Orfeo; </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Actualizar y elaborar los documentos de gestión de calidad;</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Desarrollar nuevas estrategias orientadas a la ejecución del Plan de Cero Papel al interior del Ministerio, buscando reducir los gastos en materia de papel e impresión;</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Verificar y hacer seguimiento a la implementación del Memorando Electrónico en todas las dependencias del Ministerio;</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Elaborar el Plan Integrado Nacional de Archivo (PINAR);</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Mantener actualizadas las Tablas de Retención Documental (TRD);</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Realizar el seguimiento a la aplicación de las TRD y al manejo de archivos, de acuerdo con la normatividad vigente, en todas las dependencias del Ministerio; y</w:t>
      </w:r>
    </w:p>
    <w:p w:rsidR="009E63D9" w:rsidRPr="00F64DEE" w:rsidRDefault="009E63D9" w:rsidP="00442CAC">
      <w:pPr>
        <w:pStyle w:val="Prrafodelista"/>
        <w:numPr>
          <w:ilvl w:val="0"/>
          <w:numId w:val="57"/>
        </w:numPr>
        <w:rPr>
          <w:rFonts w:cs="Arial"/>
          <w:sz w:val="22"/>
          <w:lang w:eastAsia="es-CO"/>
        </w:rPr>
      </w:pPr>
      <w:r w:rsidRPr="00F64DEE">
        <w:rPr>
          <w:rFonts w:cs="Arial"/>
          <w:sz w:val="22"/>
          <w:lang w:eastAsia="es-CO"/>
        </w:rPr>
        <w:t>Realizar nuevas jornadas de capacitación en archivos y manejo del Sistema de Gestión Documental ORFEO a los funcionarios de las Direcciones Territoriales e Inspecciones Fluviales.</w:t>
      </w:r>
    </w:p>
    <w:p w:rsidR="009E63D9" w:rsidRPr="000C3469" w:rsidRDefault="009E63D9" w:rsidP="009E63D9">
      <w:pPr>
        <w:rPr>
          <w:rFonts w:cs="Arial"/>
          <w:sz w:val="12"/>
          <w:lang w:eastAsia="es-CO"/>
        </w:rPr>
      </w:pPr>
    </w:p>
    <w:p w:rsidR="009E63D9" w:rsidRPr="009E63D9" w:rsidRDefault="009E63D9" w:rsidP="009E63D9">
      <w:pPr>
        <w:rPr>
          <w:rFonts w:cs="Arial"/>
          <w:sz w:val="22"/>
          <w:lang w:eastAsia="es-CO"/>
        </w:rPr>
      </w:pPr>
      <w:r w:rsidRPr="009E63D9">
        <w:rPr>
          <w:rFonts w:cs="Arial"/>
          <w:sz w:val="22"/>
          <w:lang w:eastAsia="es-CO"/>
        </w:rPr>
        <w:t>En materia de eficiencia administrativa, los retos de la Subdirección en lo relacionado con la Gestión de Recursos Físicos y Administrativos se concentrarán en:</w:t>
      </w:r>
    </w:p>
    <w:p w:rsidR="009E63D9" w:rsidRPr="000C3469" w:rsidRDefault="009E63D9" w:rsidP="009E63D9">
      <w:pPr>
        <w:rPr>
          <w:rFonts w:cs="Arial"/>
          <w:sz w:val="12"/>
          <w:lang w:eastAsia="es-CO"/>
        </w:rPr>
      </w:pPr>
    </w:p>
    <w:p w:rsidR="009E63D9" w:rsidRPr="00F64DEE" w:rsidRDefault="009E63D9" w:rsidP="00442CAC">
      <w:pPr>
        <w:pStyle w:val="Prrafodelista"/>
        <w:numPr>
          <w:ilvl w:val="0"/>
          <w:numId w:val="58"/>
        </w:numPr>
        <w:rPr>
          <w:rFonts w:cs="Arial"/>
          <w:sz w:val="22"/>
          <w:lang w:eastAsia="es-CO"/>
        </w:rPr>
      </w:pPr>
      <w:r w:rsidRPr="00F64DEE">
        <w:rPr>
          <w:rFonts w:cs="Arial"/>
          <w:sz w:val="22"/>
          <w:lang w:eastAsia="es-CO"/>
        </w:rPr>
        <w:t>Gestionar la legalización y destinación final (transferencia, venta, arrendamiento, comodato) de los inmuebles que figuran en cabeza de entidades del sector transporte ya liquidadas;</w:t>
      </w:r>
    </w:p>
    <w:p w:rsidR="009E63D9" w:rsidRPr="00F64DEE" w:rsidRDefault="009E63D9" w:rsidP="00442CAC">
      <w:pPr>
        <w:pStyle w:val="Prrafodelista"/>
        <w:numPr>
          <w:ilvl w:val="0"/>
          <w:numId w:val="58"/>
        </w:numPr>
        <w:rPr>
          <w:rFonts w:cs="Arial"/>
          <w:sz w:val="22"/>
          <w:lang w:eastAsia="es-CO"/>
        </w:rPr>
      </w:pPr>
      <w:r w:rsidRPr="00F64DEE">
        <w:rPr>
          <w:rFonts w:cs="Arial"/>
          <w:sz w:val="22"/>
          <w:lang w:eastAsia="es-CO"/>
        </w:rPr>
        <w:t>Realizar el pago oportuno del impuesto predial y valorización de los inmuebles propiedad del Ministerio;</w:t>
      </w:r>
    </w:p>
    <w:p w:rsidR="009E63D9" w:rsidRPr="00F64DEE" w:rsidRDefault="009E63D9" w:rsidP="00442CAC">
      <w:pPr>
        <w:pStyle w:val="Prrafodelista"/>
        <w:numPr>
          <w:ilvl w:val="0"/>
          <w:numId w:val="58"/>
        </w:numPr>
        <w:rPr>
          <w:rFonts w:cs="Arial"/>
          <w:sz w:val="22"/>
          <w:lang w:eastAsia="es-CO"/>
        </w:rPr>
      </w:pPr>
      <w:r w:rsidRPr="00F64DEE">
        <w:rPr>
          <w:rFonts w:cs="Arial"/>
          <w:sz w:val="22"/>
          <w:lang w:eastAsia="es-CO"/>
        </w:rPr>
        <w:lastRenderedPageBreak/>
        <w:t>Adecuar el Sistema de Administración de Elementos e Inventarios SAE/SAI a las normas internacionales NICSP;</w:t>
      </w:r>
    </w:p>
    <w:p w:rsidR="009E63D9" w:rsidRPr="00F64DEE" w:rsidRDefault="009E63D9" w:rsidP="00442CAC">
      <w:pPr>
        <w:pStyle w:val="Prrafodelista"/>
        <w:numPr>
          <w:ilvl w:val="0"/>
          <w:numId w:val="58"/>
        </w:numPr>
        <w:rPr>
          <w:rFonts w:cs="Arial"/>
          <w:sz w:val="22"/>
          <w:lang w:eastAsia="es-CO"/>
        </w:rPr>
      </w:pPr>
      <w:r w:rsidRPr="00F64DEE">
        <w:rPr>
          <w:rFonts w:cs="Arial"/>
          <w:sz w:val="22"/>
          <w:lang w:eastAsia="es-CO"/>
        </w:rPr>
        <w:t xml:space="preserve">Contratar el levantamiento y valoración del inventario de bienes muebles a nivel nacional, con el fin de actualizar los </w:t>
      </w:r>
      <w:r w:rsidR="00B84F84" w:rsidRPr="00F64DEE">
        <w:rPr>
          <w:rFonts w:cs="Arial"/>
          <w:sz w:val="22"/>
          <w:lang w:eastAsia="es-CO"/>
        </w:rPr>
        <w:t>sistemas</w:t>
      </w:r>
      <w:r w:rsidRPr="00F64DEE">
        <w:rPr>
          <w:rFonts w:cs="Arial"/>
          <w:sz w:val="22"/>
          <w:lang w:eastAsia="es-CO"/>
        </w:rPr>
        <w:t xml:space="preserve"> de información, depurar el estado y uso de los bienes actuales, determinar la nueva vida útil de los mismos y realizar la baja de los bienes obsoletos o no requeridos por la entidad.</w:t>
      </w:r>
    </w:p>
    <w:p w:rsidR="009E63D9" w:rsidRPr="00F64DEE" w:rsidRDefault="009E63D9" w:rsidP="00442CAC">
      <w:pPr>
        <w:pStyle w:val="Prrafodelista"/>
        <w:numPr>
          <w:ilvl w:val="0"/>
          <w:numId w:val="58"/>
        </w:numPr>
        <w:rPr>
          <w:rFonts w:cs="Arial"/>
          <w:sz w:val="22"/>
          <w:lang w:eastAsia="es-CO"/>
        </w:rPr>
      </w:pPr>
      <w:r w:rsidRPr="00F64DEE">
        <w:rPr>
          <w:rFonts w:cs="Arial"/>
          <w:sz w:val="22"/>
          <w:lang w:eastAsia="es-CO"/>
        </w:rPr>
        <w:t>Contratar una firma que realice la valoración y enajenación de los bienes muebles dados de baja y la desintegración del parque automotor.</w:t>
      </w:r>
    </w:p>
    <w:p w:rsidR="009E63D9" w:rsidRPr="000C3469" w:rsidRDefault="009E63D9" w:rsidP="009E63D9">
      <w:pPr>
        <w:rPr>
          <w:rFonts w:cs="Arial"/>
          <w:sz w:val="14"/>
          <w:lang w:eastAsia="es-CO"/>
        </w:rPr>
      </w:pPr>
    </w:p>
    <w:p w:rsidR="009E63D9" w:rsidRPr="009E63D9" w:rsidRDefault="009E63D9" w:rsidP="009E63D9">
      <w:pPr>
        <w:rPr>
          <w:rFonts w:cs="Arial"/>
          <w:sz w:val="22"/>
          <w:lang w:eastAsia="es-CO"/>
        </w:rPr>
      </w:pPr>
      <w:r w:rsidRPr="009E63D9">
        <w:rPr>
          <w:rFonts w:cs="Arial"/>
          <w:sz w:val="22"/>
          <w:lang w:eastAsia="es-CO"/>
        </w:rPr>
        <w:t>En materia de gestión financiera, los retos de la Subdirección en lo relacionado con la Gestión Financiera se concentrarán en:</w:t>
      </w:r>
    </w:p>
    <w:p w:rsidR="009E63D9" w:rsidRPr="000C3469" w:rsidRDefault="009E63D9" w:rsidP="009E63D9">
      <w:pPr>
        <w:rPr>
          <w:rFonts w:cs="Arial"/>
          <w:sz w:val="14"/>
          <w:lang w:eastAsia="es-CO"/>
        </w:rPr>
      </w:pPr>
    </w:p>
    <w:p w:rsidR="009E63D9" w:rsidRPr="00F64DEE" w:rsidRDefault="009E63D9" w:rsidP="00442CAC">
      <w:pPr>
        <w:pStyle w:val="Prrafodelista"/>
        <w:numPr>
          <w:ilvl w:val="0"/>
          <w:numId w:val="59"/>
        </w:numPr>
        <w:rPr>
          <w:rFonts w:cs="Arial"/>
          <w:sz w:val="22"/>
          <w:lang w:eastAsia="es-CO"/>
        </w:rPr>
      </w:pPr>
      <w:r w:rsidRPr="00F64DEE">
        <w:rPr>
          <w:rFonts w:cs="Arial"/>
          <w:sz w:val="22"/>
          <w:lang w:eastAsia="es-CO"/>
        </w:rPr>
        <w:t>Gestionar la recepción, verificación y cumplimiento de requisitos para el pago de las cuentas presentadas por los acreedores por los servicios o bienes adquiridos, en un 95% de las cuentas obligadas más las cuentas devueltas;</w:t>
      </w:r>
    </w:p>
    <w:p w:rsidR="009E63D9" w:rsidRPr="00F64DEE" w:rsidRDefault="009E63D9" w:rsidP="00442CAC">
      <w:pPr>
        <w:pStyle w:val="Prrafodelista"/>
        <w:numPr>
          <w:ilvl w:val="0"/>
          <w:numId w:val="59"/>
        </w:numPr>
        <w:rPr>
          <w:rFonts w:cs="Arial"/>
          <w:sz w:val="22"/>
          <w:lang w:eastAsia="es-CO"/>
        </w:rPr>
      </w:pPr>
      <w:r w:rsidRPr="00F64DEE">
        <w:rPr>
          <w:rFonts w:cs="Arial"/>
          <w:sz w:val="22"/>
          <w:lang w:eastAsia="es-CO"/>
        </w:rPr>
        <w:t>Implementar las NICSP de acuerdo a las instrucciones impartidas por la CGN y la nueva parametrización de las subcuentas y movimientos contables, presentando los informes de acuerdo al marco normativo; y</w:t>
      </w:r>
    </w:p>
    <w:p w:rsidR="009E63D9" w:rsidRPr="00F64DEE" w:rsidRDefault="009E63D9" w:rsidP="00442CAC">
      <w:pPr>
        <w:pStyle w:val="Prrafodelista"/>
        <w:numPr>
          <w:ilvl w:val="0"/>
          <w:numId w:val="59"/>
        </w:numPr>
        <w:rPr>
          <w:rFonts w:cs="Arial"/>
          <w:sz w:val="22"/>
          <w:lang w:eastAsia="es-CO"/>
        </w:rPr>
      </w:pPr>
      <w:r w:rsidRPr="00F64DEE">
        <w:rPr>
          <w:rFonts w:cs="Arial"/>
          <w:sz w:val="22"/>
          <w:lang w:eastAsia="es-CO"/>
        </w:rPr>
        <w:t>Finalizar el proceso de depuración contable.</w:t>
      </w:r>
    </w:p>
    <w:p w:rsidR="009E63D9" w:rsidRPr="000C3469" w:rsidRDefault="009E63D9" w:rsidP="009E63D9">
      <w:pPr>
        <w:rPr>
          <w:rFonts w:cs="Arial"/>
          <w:sz w:val="14"/>
          <w:lang w:eastAsia="es-CO"/>
        </w:rPr>
      </w:pPr>
    </w:p>
    <w:p w:rsidR="009E63D9" w:rsidRPr="00F64DEE" w:rsidRDefault="009E63D9" w:rsidP="009E63D9">
      <w:pPr>
        <w:rPr>
          <w:rFonts w:cs="Arial"/>
          <w:sz w:val="22"/>
          <w:u w:val="single"/>
          <w:lang w:eastAsia="es-CO"/>
        </w:rPr>
      </w:pPr>
      <w:r w:rsidRPr="00F64DEE">
        <w:rPr>
          <w:rFonts w:cs="Arial"/>
          <w:sz w:val="22"/>
          <w:u w:val="single"/>
          <w:lang w:eastAsia="es-CO"/>
        </w:rPr>
        <w:t>Situaciones que afectaron el cumplimiento las metas trazadas</w:t>
      </w:r>
      <w:r w:rsidR="00F64DEE">
        <w:rPr>
          <w:rFonts w:cs="Arial"/>
          <w:sz w:val="22"/>
          <w:u w:val="single"/>
          <w:lang w:eastAsia="es-CO"/>
        </w:rPr>
        <w:t>:</w:t>
      </w:r>
    </w:p>
    <w:p w:rsidR="009E63D9" w:rsidRPr="009E63D9" w:rsidRDefault="009E63D9" w:rsidP="009E63D9">
      <w:pPr>
        <w:rPr>
          <w:rFonts w:cs="Arial"/>
          <w:sz w:val="22"/>
          <w:lang w:eastAsia="es-CO"/>
        </w:rPr>
      </w:pPr>
      <w:r w:rsidRPr="009E63D9">
        <w:rPr>
          <w:rFonts w:cs="Arial"/>
          <w:sz w:val="22"/>
          <w:lang w:eastAsia="es-CO"/>
        </w:rPr>
        <w:t>Durante al año 2017 se presentaron diferentes situaciones y hechos que afectaron el cumplimiento de las metas, a saber:</w:t>
      </w:r>
    </w:p>
    <w:p w:rsidR="009E63D9" w:rsidRPr="000C3469" w:rsidRDefault="009E63D9" w:rsidP="009E63D9">
      <w:pPr>
        <w:rPr>
          <w:rFonts w:cs="Arial"/>
          <w:sz w:val="12"/>
          <w:lang w:eastAsia="es-CO"/>
        </w:rPr>
      </w:pPr>
    </w:p>
    <w:p w:rsidR="009E63D9" w:rsidRPr="00F64DEE" w:rsidRDefault="009E63D9" w:rsidP="00442CAC">
      <w:pPr>
        <w:pStyle w:val="Prrafodelista"/>
        <w:numPr>
          <w:ilvl w:val="0"/>
          <w:numId w:val="60"/>
        </w:numPr>
        <w:rPr>
          <w:rFonts w:cs="Arial"/>
          <w:sz w:val="22"/>
          <w:lang w:eastAsia="es-CO"/>
        </w:rPr>
      </w:pPr>
      <w:r w:rsidRPr="00F64DEE">
        <w:rPr>
          <w:rFonts w:cs="Arial"/>
          <w:sz w:val="22"/>
          <w:lang w:eastAsia="es-CO"/>
        </w:rPr>
        <w:t>En la implementación del Memorando Electrónico se presentaron atrasos por problemas  en la contratación del Ingeniero de Orfeo y por destinación de tiempo adicional a temas de seguridad del aplicativo y mejoras en materia de PQR en línea;</w:t>
      </w:r>
    </w:p>
    <w:p w:rsidR="009E63D9" w:rsidRPr="00F64DEE" w:rsidRDefault="009E63D9" w:rsidP="00442CAC">
      <w:pPr>
        <w:pStyle w:val="Prrafodelista"/>
        <w:numPr>
          <w:ilvl w:val="0"/>
          <w:numId w:val="60"/>
        </w:numPr>
        <w:rPr>
          <w:rFonts w:cs="Arial"/>
          <w:sz w:val="22"/>
          <w:lang w:eastAsia="es-CO"/>
        </w:rPr>
      </w:pPr>
      <w:r w:rsidRPr="00F64DEE">
        <w:rPr>
          <w:rFonts w:cs="Arial"/>
          <w:sz w:val="22"/>
          <w:lang w:eastAsia="es-CO"/>
        </w:rPr>
        <w:t>En la gestión de los bienes inmuebles se presentó falta de personal profesional (abogados) que afectaron el cumplimiento satisfactorio de las metas y compromisos adquiridos;</w:t>
      </w:r>
    </w:p>
    <w:p w:rsidR="009E63D9" w:rsidRPr="00F64DEE" w:rsidRDefault="009E63D9" w:rsidP="00442CAC">
      <w:pPr>
        <w:pStyle w:val="Prrafodelista"/>
        <w:numPr>
          <w:ilvl w:val="0"/>
          <w:numId w:val="60"/>
        </w:numPr>
        <w:rPr>
          <w:rFonts w:cs="Arial"/>
          <w:sz w:val="22"/>
          <w:lang w:eastAsia="es-CO"/>
        </w:rPr>
      </w:pPr>
      <w:r w:rsidRPr="00F64DEE">
        <w:rPr>
          <w:rFonts w:cs="Arial"/>
          <w:sz w:val="22"/>
          <w:lang w:eastAsia="es-CO"/>
        </w:rPr>
        <w:t xml:space="preserve">En cuanto al suministro oportuno de bienes y servicios, se presentaros limitaciones por la falta de disponibilidad presupuestal, la cual solo fue subsanada a finales de julio. </w:t>
      </w:r>
      <w:r w:rsidRPr="00F64DEE">
        <w:rPr>
          <w:rFonts w:cs="Arial"/>
          <w:sz w:val="22"/>
          <w:lang w:eastAsia="es-CO"/>
        </w:rPr>
        <w:lastRenderedPageBreak/>
        <w:t>Algunos de los rubros más afectados fueron: el suministro de la dotación, los servicios de aseo y cafetería, los viáticos y gastos de viaje y los servicios públicos;</w:t>
      </w:r>
    </w:p>
    <w:p w:rsidR="009E63D9" w:rsidRPr="00F64DEE" w:rsidRDefault="009E63D9" w:rsidP="00442CAC">
      <w:pPr>
        <w:pStyle w:val="Prrafodelista"/>
        <w:numPr>
          <w:ilvl w:val="0"/>
          <w:numId w:val="60"/>
        </w:numPr>
        <w:rPr>
          <w:rFonts w:cs="Arial"/>
          <w:sz w:val="22"/>
          <w:lang w:eastAsia="es-CO"/>
        </w:rPr>
      </w:pPr>
      <w:r w:rsidRPr="00F64DEE">
        <w:rPr>
          <w:rFonts w:cs="Arial"/>
          <w:sz w:val="22"/>
          <w:lang w:eastAsia="es-CO"/>
        </w:rPr>
        <w:t>El proceso de disposición final de los bienes dados de baja (vehículos y especies venales) no pudo realizarse en la vigencia 2017 dado que se presentaron dificultades en la dependencia responsable para el registro y/o cancelación de las matrículas de los automotores, requisito indispensable para la desintegración física total, y en la autorización para la destrucción de las especies venales obsoletas por parte del área responsable;</w:t>
      </w:r>
    </w:p>
    <w:p w:rsidR="009E63D9" w:rsidRPr="00F64DEE" w:rsidRDefault="009E63D9" w:rsidP="00442CAC">
      <w:pPr>
        <w:pStyle w:val="Prrafodelista"/>
        <w:numPr>
          <w:ilvl w:val="0"/>
          <w:numId w:val="60"/>
        </w:numPr>
        <w:rPr>
          <w:rFonts w:cs="Arial"/>
          <w:sz w:val="22"/>
          <w:lang w:eastAsia="es-CO"/>
        </w:rPr>
      </w:pPr>
      <w:r w:rsidRPr="00F64DEE">
        <w:rPr>
          <w:rFonts w:cs="Arial"/>
          <w:sz w:val="22"/>
          <w:lang w:eastAsia="es-CO"/>
        </w:rPr>
        <w:t>El proceso de contratación de una firma para la disposición final de muebles, enseres, equipos de oficina y maquinaria dados de baja y almacenados en la bodega de Fontibón fue declarado desierto por no presentarse propuestas; y</w:t>
      </w:r>
    </w:p>
    <w:p w:rsidR="009E63D9" w:rsidRPr="00F64DEE" w:rsidRDefault="009E63D9" w:rsidP="00442CAC">
      <w:pPr>
        <w:pStyle w:val="Prrafodelista"/>
        <w:numPr>
          <w:ilvl w:val="0"/>
          <w:numId w:val="60"/>
        </w:numPr>
        <w:rPr>
          <w:rFonts w:cs="Arial"/>
          <w:sz w:val="22"/>
          <w:lang w:eastAsia="es-CO"/>
        </w:rPr>
      </w:pPr>
      <w:r w:rsidRPr="00F64DEE">
        <w:rPr>
          <w:rFonts w:cs="Arial"/>
          <w:sz w:val="22"/>
          <w:lang w:eastAsia="es-CO"/>
        </w:rPr>
        <w:t>Se presentaron demoras de parte de algunos comodatarios para dar respuesta a las solicitudes de restitución de bienes formulada por esta Subdirección, impidiendo una completa depuración de la cuenta de bienes entregados en comodato</w:t>
      </w:r>
    </w:p>
    <w:p w:rsidR="00B84F84" w:rsidRPr="000C3469" w:rsidRDefault="00B84F84" w:rsidP="00650E7C">
      <w:pPr>
        <w:rPr>
          <w:rFonts w:cs="Arial"/>
          <w:sz w:val="16"/>
          <w:lang w:eastAsia="es-CO"/>
        </w:rPr>
      </w:pPr>
    </w:p>
    <w:p w:rsidR="00650E7C" w:rsidRDefault="00453B1A" w:rsidP="00B26A65">
      <w:pPr>
        <w:pStyle w:val="Ttulo2"/>
        <w:numPr>
          <w:ilvl w:val="1"/>
          <w:numId w:val="87"/>
        </w:numPr>
      </w:pPr>
      <w:bookmarkStart w:id="157" w:name="_Toc505003500"/>
      <w:bookmarkEnd w:id="156"/>
      <w:r w:rsidRPr="007E3988">
        <w:t>G</w:t>
      </w:r>
      <w:r w:rsidR="00032BD4" w:rsidRPr="007E3988">
        <w:t>estión informática</w:t>
      </w:r>
      <w:bookmarkEnd w:id="157"/>
      <w:r w:rsidR="00650E7C" w:rsidRPr="007E3988">
        <w:t xml:space="preserve"> </w:t>
      </w:r>
    </w:p>
    <w:p w:rsidR="001D0A4C" w:rsidRPr="001D0A4C" w:rsidRDefault="001D0A4C" w:rsidP="001D0A4C">
      <w:pPr>
        <w:rPr>
          <w:rFonts w:cs="Arial"/>
          <w:sz w:val="22"/>
          <w:lang w:eastAsia="es-CO"/>
        </w:rPr>
      </w:pPr>
      <w:r w:rsidRPr="001D0A4C">
        <w:rPr>
          <w:rFonts w:cs="Arial"/>
          <w:sz w:val="22"/>
          <w:lang w:eastAsia="es-CO"/>
        </w:rPr>
        <w:t>Los logros se centraron en aspectos de tipo estratégico y también táctico y operativo, en estrategias sectoriales y de acompañamiento y soporte a las áreas y de operación; buscando la continuidad y la efectividad y eficiencia de los servicios:</w:t>
      </w:r>
    </w:p>
    <w:p w:rsidR="001D0A4C" w:rsidRPr="000C3469" w:rsidRDefault="001D0A4C" w:rsidP="001D0A4C">
      <w:pPr>
        <w:rPr>
          <w:rFonts w:cs="Arial"/>
          <w:sz w:val="16"/>
          <w:lang w:eastAsia="es-CO"/>
        </w:rPr>
      </w:pPr>
    </w:p>
    <w:p w:rsidR="001D0A4C" w:rsidRPr="001D0A4C" w:rsidRDefault="001D0A4C" w:rsidP="001D0A4C">
      <w:pPr>
        <w:rPr>
          <w:rFonts w:cs="Arial"/>
          <w:b/>
          <w:sz w:val="22"/>
          <w:lang w:eastAsia="es-CO"/>
        </w:rPr>
      </w:pPr>
      <w:r w:rsidRPr="001D0A4C">
        <w:rPr>
          <w:rFonts w:cs="Arial"/>
          <w:b/>
          <w:sz w:val="22"/>
          <w:lang w:eastAsia="es-CO"/>
        </w:rPr>
        <w:t>Logros de tipo estratégico:</w:t>
      </w:r>
    </w:p>
    <w:p w:rsidR="001D0A4C" w:rsidRPr="001D0A4C" w:rsidRDefault="001D0A4C" w:rsidP="001D0A4C">
      <w:pPr>
        <w:rPr>
          <w:rFonts w:cs="Arial"/>
          <w:sz w:val="22"/>
          <w:lang w:eastAsia="es-CO"/>
        </w:rPr>
      </w:pPr>
      <w:r w:rsidRPr="001D0A4C">
        <w:rPr>
          <w:rFonts w:cs="Arial"/>
          <w:sz w:val="22"/>
          <w:lang w:eastAsia="es-CO"/>
        </w:rPr>
        <w:t xml:space="preserve">Plan para la arquitectura de las TIC: Una arquitectura tecnológica permite definir la infraestructura de las TIC, políticas y guías que orientan el uso de los recursos tecnológicos, tales como, la decisión de cuántos de ellos se contratarán en la nube (cloud computing), cuáles van a ser los software que se usarán (libres o propietarios), datos, estándares, sistemas de comunicación y las condiciones para su empleo en cuanto al uso eficiente de los recursos. </w:t>
      </w:r>
    </w:p>
    <w:p w:rsidR="001D0A4C" w:rsidRPr="000C3469" w:rsidRDefault="001D0A4C" w:rsidP="001D0A4C">
      <w:pPr>
        <w:rPr>
          <w:rFonts w:cs="Arial"/>
          <w:sz w:val="12"/>
          <w:lang w:eastAsia="es-CO"/>
        </w:rPr>
      </w:pPr>
    </w:p>
    <w:p w:rsidR="001D0A4C" w:rsidRPr="001D0A4C" w:rsidRDefault="001D0A4C" w:rsidP="001D0A4C">
      <w:pPr>
        <w:rPr>
          <w:rFonts w:cs="Arial"/>
          <w:sz w:val="22"/>
          <w:lang w:eastAsia="es-CO"/>
        </w:rPr>
      </w:pPr>
      <w:r w:rsidRPr="001D0A4C">
        <w:rPr>
          <w:rFonts w:cs="Arial"/>
          <w:sz w:val="22"/>
          <w:lang w:eastAsia="es-CO"/>
        </w:rPr>
        <w:t xml:space="preserve">Alineados con la estrategia tecnológica y los planes asociados al gobierno electrónico, El Ministerio con base en la necesidad de implementar herramientas colaborativas, de autogestión que facilitan el manejo de la información, la entidad adquirió nuevos componentes que atienden las estrategias de seguridad de la información por medio de la adquisición del servicio de office365. </w:t>
      </w:r>
    </w:p>
    <w:p w:rsidR="001D0A4C" w:rsidRDefault="001D0A4C" w:rsidP="001D0A4C">
      <w:pPr>
        <w:rPr>
          <w:rFonts w:cs="Arial"/>
          <w:sz w:val="22"/>
          <w:lang w:eastAsia="es-CO"/>
        </w:rPr>
      </w:pPr>
    </w:p>
    <w:p w:rsidR="001D0A4C" w:rsidRPr="001D0A4C" w:rsidRDefault="001D0A4C" w:rsidP="001D0A4C">
      <w:pPr>
        <w:rPr>
          <w:rFonts w:cs="Arial"/>
          <w:sz w:val="22"/>
          <w:u w:val="single"/>
          <w:lang w:eastAsia="es-CO"/>
        </w:rPr>
      </w:pPr>
      <w:r w:rsidRPr="001D0A4C">
        <w:rPr>
          <w:rFonts w:cs="Arial"/>
          <w:sz w:val="22"/>
          <w:u w:val="single"/>
          <w:lang w:eastAsia="es-CO"/>
        </w:rPr>
        <w:t>Gestión de identidad y acceso</w:t>
      </w:r>
      <w:r>
        <w:rPr>
          <w:rFonts w:cs="Arial"/>
          <w:sz w:val="22"/>
          <w:u w:val="single"/>
          <w:lang w:eastAsia="es-CO"/>
        </w:rPr>
        <w:t>:</w:t>
      </w:r>
    </w:p>
    <w:p w:rsidR="001D0A4C" w:rsidRPr="001D0A4C" w:rsidRDefault="001D0A4C" w:rsidP="001D0A4C">
      <w:pPr>
        <w:rPr>
          <w:rFonts w:cs="Arial"/>
          <w:sz w:val="22"/>
          <w:lang w:eastAsia="es-CO"/>
        </w:rPr>
      </w:pPr>
      <w:r w:rsidRPr="001D0A4C">
        <w:rPr>
          <w:rFonts w:cs="Arial"/>
          <w:sz w:val="22"/>
          <w:lang w:eastAsia="es-CO"/>
        </w:rPr>
        <w:t>Todo servidor público que se vincule al Ministerio de Transporte ya sea por contrato de prestación de servicio o carrera administrativa es vinculado a la red de datos mediante una cuenta de usuario y asignada una licencia de correo electrónico.</w:t>
      </w:r>
    </w:p>
    <w:p w:rsidR="001D0A4C" w:rsidRPr="000C3469" w:rsidRDefault="001D0A4C" w:rsidP="001D0A4C">
      <w:pPr>
        <w:rPr>
          <w:rFonts w:cs="Arial"/>
          <w:sz w:val="14"/>
          <w:lang w:eastAsia="es-CO"/>
        </w:rPr>
      </w:pPr>
    </w:p>
    <w:p w:rsidR="001D0A4C" w:rsidRDefault="001D0A4C" w:rsidP="001D0A4C">
      <w:pPr>
        <w:rPr>
          <w:rFonts w:cs="Arial"/>
          <w:sz w:val="22"/>
          <w:lang w:eastAsia="es-CO"/>
        </w:rPr>
      </w:pPr>
      <w:r w:rsidRPr="001D0A4C">
        <w:rPr>
          <w:rFonts w:cs="Arial"/>
          <w:sz w:val="22"/>
          <w:lang w:eastAsia="es-CO"/>
        </w:rPr>
        <w:t>Contamos con 1110 usuarios, los cuales en caso de olvido de contraseña o bloqueo de la cuenta, deben comunicarse con soporte técnico para el correspondiente restablecimiento de su contraseña.  Este escenario fue una oportunidad de mejora respecto al auto servicio de gestión de contraseñas desde la plataforma de Office 365, lo cual permite el restablecimiento de la contraseña por parte del usuario, con previa verificación a través de una pregunta de seguridad o código enviado al dispositivo móvil asociado previamente al usuario.</w:t>
      </w:r>
    </w:p>
    <w:p w:rsidR="00334A30" w:rsidRPr="000C3469" w:rsidRDefault="00334A30" w:rsidP="001D0A4C">
      <w:pPr>
        <w:rPr>
          <w:rFonts w:cs="Arial"/>
          <w:sz w:val="14"/>
          <w:lang w:eastAsia="es-CO"/>
        </w:rPr>
      </w:pPr>
    </w:p>
    <w:p w:rsidR="001D0A4C" w:rsidRPr="001D0A4C" w:rsidRDefault="001D0A4C" w:rsidP="001D0A4C">
      <w:pPr>
        <w:rPr>
          <w:rFonts w:cs="Arial"/>
          <w:sz w:val="22"/>
          <w:lang w:eastAsia="es-CO"/>
        </w:rPr>
      </w:pPr>
      <w:r w:rsidRPr="001D0A4C">
        <w:rPr>
          <w:rFonts w:cs="Arial"/>
          <w:sz w:val="22"/>
          <w:lang w:eastAsia="es-CO"/>
        </w:rPr>
        <w:t>Adicionalmente se cuenta con el mecanismo que permite identificar los problemas y riesgos de seguridad, identificando vulnerabilidades conocidas sobre protocolos para realizar los procesos de mitigación correspondientes.</w:t>
      </w:r>
    </w:p>
    <w:p w:rsidR="001D0A4C" w:rsidRPr="000C3469" w:rsidRDefault="001D0A4C" w:rsidP="001D0A4C">
      <w:pPr>
        <w:rPr>
          <w:rFonts w:cs="Arial"/>
          <w:sz w:val="16"/>
          <w:lang w:eastAsia="es-CO"/>
        </w:rPr>
      </w:pPr>
    </w:p>
    <w:p w:rsidR="001D0A4C" w:rsidRPr="001D0A4C" w:rsidRDefault="001D0A4C" w:rsidP="001D0A4C">
      <w:pPr>
        <w:rPr>
          <w:rFonts w:cs="Arial"/>
          <w:sz w:val="22"/>
          <w:u w:val="single"/>
          <w:lang w:eastAsia="es-CO"/>
        </w:rPr>
      </w:pPr>
      <w:r w:rsidRPr="001D0A4C">
        <w:rPr>
          <w:rFonts w:cs="Arial"/>
          <w:sz w:val="22"/>
          <w:u w:val="single"/>
          <w:lang w:eastAsia="es-CO"/>
        </w:rPr>
        <w:t>Protección Avanzadas de ciberseguridad hacia el correo electrónico</w:t>
      </w:r>
      <w:r>
        <w:rPr>
          <w:rFonts w:cs="Arial"/>
          <w:sz w:val="22"/>
          <w:u w:val="single"/>
          <w:lang w:eastAsia="es-CO"/>
        </w:rPr>
        <w:t>:</w:t>
      </w:r>
      <w:r w:rsidRPr="001D0A4C">
        <w:rPr>
          <w:rFonts w:cs="Arial"/>
          <w:sz w:val="22"/>
          <w:u w:val="single"/>
          <w:lang w:eastAsia="es-CO"/>
        </w:rPr>
        <w:t xml:space="preserve"> </w:t>
      </w:r>
    </w:p>
    <w:p w:rsidR="001D0A4C" w:rsidRPr="001D0A4C" w:rsidRDefault="001D0A4C" w:rsidP="001D0A4C">
      <w:pPr>
        <w:rPr>
          <w:rFonts w:cs="Arial"/>
          <w:sz w:val="22"/>
          <w:lang w:eastAsia="es-CO"/>
        </w:rPr>
      </w:pPr>
      <w:r w:rsidRPr="001D0A4C">
        <w:rPr>
          <w:rFonts w:cs="Arial"/>
          <w:sz w:val="22"/>
          <w:lang w:eastAsia="es-CO"/>
        </w:rPr>
        <w:t>La Protección contra amenazas avanzada (ATP) de Exchange Online Protection (EOP) sirve para evitar ataques de malware de tipo zero-day en el entorno de correo electrónico tales como ransomware and phishing. ATP proporciona una forma de crear directivas en el Centro de administración de Exchange (EAC) con las que se procura que los usuarios solo tengan acceso a los datos adjuntos o vínculos incluidos en correos que se hayan identificado como no malintencionados. Actualmente la entidad usa EOP para combatir el malware en su entorno de correo electrónico, por lo que agregando el componente de ATP aporto una protección más eficaz que redunda en:</w:t>
      </w:r>
    </w:p>
    <w:p w:rsidR="001D0A4C" w:rsidRPr="001D0A4C" w:rsidRDefault="001D0A4C" w:rsidP="00442CAC">
      <w:pPr>
        <w:pStyle w:val="Prrafodelista"/>
        <w:numPr>
          <w:ilvl w:val="0"/>
          <w:numId w:val="61"/>
        </w:numPr>
        <w:rPr>
          <w:rFonts w:cs="Arial"/>
          <w:sz w:val="22"/>
          <w:lang w:eastAsia="es-CO"/>
        </w:rPr>
      </w:pPr>
      <w:r w:rsidRPr="001D0A4C">
        <w:rPr>
          <w:rFonts w:cs="Arial"/>
          <w:sz w:val="22"/>
          <w:lang w:eastAsia="es-CO"/>
        </w:rPr>
        <w:t>La función Datos Adjuntos seguros abre los documentos adjuntos a los mensajes de correo electrónico en entornos virtuales acordonados para detectar un comportamiento malintencionado.</w:t>
      </w:r>
    </w:p>
    <w:p w:rsidR="001D0A4C" w:rsidRPr="001D0A4C" w:rsidRDefault="001D0A4C" w:rsidP="00442CAC">
      <w:pPr>
        <w:pStyle w:val="Prrafodelista"/>
        <w:numPr>
          <w:ilvl w:val="0"/>
          <w:numId w:val="61"/>
        </w:numPr>
        <w:rPr>
          <w:rFonts w:cs="Arial"/>
          <w:sz w:val="22"/>
          <w:lang w:eastAsia="es-CO"/>
        </w:rPr>
      </w:pPr>
      <w:r w:rsidRPr="001D0A4C">
        <w:rPr>
          <w:rFonts w:cs="Arial"/>
          <w:sz w:val="22"/>
          <w:lang w:eastAsia="es-CO"/>
        </w:rPr>
        <w:t>La función Vínculos externos incluye los vínculos externos en direcciones URL especiales donde se comprueba la URL de destino para ver si suponen una amenaza antes de abrirlos.</w:t>
      </w:r>
    </w:p>
    <w:p w:rsidR="001D0A4C" w:rsidRPr="001D0A4C" w:rsidRDefault="001D0A4C" w:rsidP="00442CAC">
      <w:pPr>
        <w:pStyle w:val="Prrafodelista"/>
        <w:numPr>
          <w:ilvl w:val="0"/>
          <w:numId w:val="61"/>
        </w:numPr>
        <w:rPr>
          <w:rFonts w:cs="Arial"/>
          <w:sz w:val="22"/>
          <w:lang w:eastAsia="es-CO"/>
        </w:rPr>
      </w:pPr>
      <w:r w:rsidRPr="001D0A4C">
        <w:rPr>
          <w:rFonts w:cs="Arial"/>
          <w:sz w:val="22"/>
          <w:lang w:eastAsia="es-CO"/>
        </w:rPr>
        <w:lastRenderedPageBreak/>
        <w:t>La función Rastreo de clics mantiene un registro de cada usuario que hace clic en una URL incluida en un vínculo seguro como medida de protección adicional.</w:t>
      </w:r>
    </w:p>
    <w:p w:rsidR="001D0A4C" w:rsidRPr="001D0A4C" w:rsidRDefault="001D0A4C" w:rsidP="001D0A4C">
      <w:pPr>
        <w:rPr>
          <w:rFonts w:cs="Arial"/>
          <w:sz w:val="22"/>
          <w:lang w:eastAsia="es-CO"/>
        </w:rPr>
      </w:pPr>
    </w:p>
    <w:p w:rsidR="001D0A4C" w:rsidRDefault="001D0A4C" w:rsidP="001D0A4C">
      <w:pPr>
        <w:rPr>
          <w:rFonts w:cs="Arial"/>
          <w:sz w:val="22"/>
          <w:lang w:eastAsia="es-CO"/>
        </w:rPr>
      </w:pPr>
      <w:r w:rsidRPr="001D0A4C">
        <w:rPr>
          <w:rFonts w:cs="Arial"/>
          <w:sz w:val="22"/>
          <w:lang w:eastAsia="es-CO"/>
        </w:rPr>
        <w:t>Con base en los controles de seguridad y mecanismos de autogestión para los usuarios indicados permitirían un mejoramiento de las medidas de protección de la información, así como reducción de la carga operativa de la mesa de ayuda y mejoras en los servicios para los usuarios, se plantea la suscripción del licenciamiento de Azure Active Directory Premium (ADDP) y Advance Threat Protection (ATP) de Microsoft para 1110 usuarios del Ministerio en una primera fase del proyecto, para que en una primera fase, hasta el 31 de diciembre de 2017, se realicen las actividades de configuración del proceso de autogestión de contraseñas y activación de filtros de seguridad aprovisionado por Advance Threat Protection. Posteriormente de acuerdo a las necesidades de los usuarios, de manera progresiva, se configurarán las funcionalidades restantes manejadas por Azure Active Directory Premium.</w:t>
      </w:r>
    </w:p>
    <w:p w:rsidR="001D0A4C" w:rsidRPr="001D0A4C" w:rsidRDefault="001D0A4C" w:rsidP="001D0A4C">
      <w:pPr>
        <w:rPr>
          <w:rFonts w:cs="Arial"/>
          <w:sz w:val="22"/>
          <w:lang w:eastAsia="es-CO"/>
        </w:rPr>
      </w:pPr>
    </w:p>
    <w:p w:rsidR="001D0A4C" w:rsidRPr="001D0A4C" w:rsidRDefault="001D0A4C" w:rsidP="001D0A4C">
      <w:pPr>
        <w:rPr>
          <w:rFonts w:cs="Arial"/>
          <w:sz w:val="22"/>
          <w:lang w:eastAsia="es-CO"/>
        </w:rPr>
      </w:pPr>
      <w:r w:rsidRPr="001D0A4C">
        <w:rPr>
          <w:rFonts w:cs="Arial"/>
          <w:sz w:val="22"/>
          <w:lang w:eastAsia="es-CO"/>
        </w:rPr>
        <w:t xml:space="preserve">La utilización de estas tecnologías apoya a la entidad a dar cumplimiento al componente de Seguridad y Privacidad de la Información establecido en la Estrategia de Gobierno en Línea – GEL (Decreto 2573 de 2014), viene implementando el Sistema de Gestión de Seguridad de la Información en el Marco del estándar ISO 27001:2013. Dando cumplimiento a los siguientes Controles establecidos por dicha norma: “A.6.2 Dispositivos móviles y teletrabajo”, “A.7.2 Durante la ejecución del empleo”, “A.7.3 Terminación y cambio de empleo”, “A.8.1 Responsabilidad por los activos”, “A.9.1 Requisitos del negocio para control de acceso”, </w:t>
      </w:r>
      <w:r w:rsidR="00334A30" w:rsidRPr="001D0A4C">
        <w:rPr>
          <w:rFonts w:cs="Arial"/>
          <w:sz w:val="22"/>
          <w:lang w:eastAsia="es-CO"/>
        </w:rPr>
        <w:t>“A.9.2</w:t>
      </w:r>
      <w:r w:rsidRPr="001D0A4C">
        <w:rPr>
          <w:rFonts w:cs="Arial"/>
          <w:sz w:val="22"/>
          <w:lang w:eastAsia="es-CO"/>
        </w:rPr>
        <w:t xml:space="preserve">. Gestión de Acceso de usuarios”, “A.9.4.3 - Sistema de gestión de contraseñas”, “A.12.2 Protección contra códigos maliciosos”, “A. 12.4 Registro y seguimiento: Registrar eventos y generar evidencia”. </w:t>
      </w:r>
    </w:p>
    <w:p w:rsidR="001D0A4C" w:rsidRPr="001D0A4C" w:rsidRDefault="001D0A4C" w:rsidP="001D0A4C">
      <w:pPr>
        <w:rPr>
          <w:rFonts w:cs="Arial"/>
          <w:sz w:val="22"/>
          <w:lang w:eastAsia="es-CO"/>
        </w:rPr>
      </w:pPr>
    </w:p>
    <w:p w:rsidR="001D0A4C" w:rsidRPr="001D0A4C" w:rsidRDefault="001D0A4C" w:rsidP="001D0A4C">
      <w:pPr>
        <w:rPr>
          <w:rFonts w:cs="Arial"/>
          <w:sz w:val="22"/>
          <w:u w:val="single"/>
          <w:lang w:eastAsia="es-CO"/>
        </w:rPr>
      </w:pPr>
      <w:r w:rsidRPr="001D0A4C">
        <w:rPr>
          <w:rFonts w:cs="Arial"/>
          <w:sz w:val="22"/>
          <w:u w:val="single"/>
          <w:lang w:eastAsia="es-CO"/>
        </w:rPr>
        <w:t>Gobernanza integrada para el desarrollo sostenible</w:t>
      </w:r>
      <w:r>
        <w:rPr>
          <w:rFonts w:cs="Arial"/>
          <w:sz w:val="22"/>
          <w:u w:val="single"/>
          <w:lang w:eastAsia="es-CO"/>
        </w:rPr>
        <w:t>:</w:t>
      </w:r>
    </w:p>
    <w:p w:rsidR="001D0A4C" w:rsidRDefault="001D0A4C" w:rsidP="001D0A4C">
      <w:pPr>
        <w:rPr>
          <w:rFonts w:cs="Arial"/>
          <w:sz w:val="22"/>
          <w:lang w:eastAsia="es-CO"/>
        </w:rPr>
      </w:pPr>
      <w:r w:rsidRPr="001D0A4C">
        <w:rPr>
          <w:rFonts w:cs="Arial"/>
          <w:sz w:val="22"/>
          <w:lang w:eastAsia="es-CO"/>
        </w:rPr>
        <w:t xml:space="preserve">La entidad ha ajustado la gobernanza con la complejidad del sistema público y refuerza más aún con la idea de la sostenibilidad pues permite ligar, en forma más indisoluble, los aspectos sociales, económicos y medioambientales con el uso estratégico de </w:t>
      </w:r>
      <w:r w:rsidR="007671CE">
        <w:rPr>
          <w:rFonts w:cs="Arial"/>
          <w:sz w:val="22"/>
          <w:lang w:eastAsia="es-CO"/>
        </w:rPr>
        <w:t>las tecnologías de información.</w:t>
      </w:r>
    </w:p>
    <w:p w:rsidR="007671CE" w:rsidRPr="001D0A4C" w:rsidRDefault="007671CE" w:rsidP="001D0A4C">
      <w:pPr>
        <w:rPr>
          <w:rFonts w:cs="Arial"/>
          <w:sz w:val="22"/>
          <w:lang w:eastAsia="es-CO"/>
        </w:rPr>
      </w:pPr>
    </w:p>
    <w:p w:rsidR="001D0A4C" w:rsidRDefault="001D0A4C" w:rsidP="001D0A4C">
      <w:pPr>
        <w:rPr>
          <w:rFonts w:cs="Arial"/>
          <w:sz w:val="22"/>
          <w:lang w:eastAsia="es-CO"/>
        </w:rPr>
      </w:pPr>
      <w:r w:rsidRPr="001D0A4C">
        <w:rPr>
          <w:rFonts w:cs="Arial"/>
          <w:sz w:val="22"/>
          <w:lang w:eastAsia="es-CO"/>
        </w:rPr>
        <w:lastRenderedPageBreak/>
        <w:t>A través de convenios interadministrativos la entidad desde el Grupo de Informática ha integrado e implementado sistemas de información con la entrega del código fuente por parte de la entidad que lo desarrollo generando sostenibilidad de los proyectos y transferencia de conocimiento permitiendo que los proceso actúen en forma coherente, eficaz y también con alguna eficiencia en la búsqueda de la sostenibilidad.</w:t>
      </w:r>
    </w:p>
    <w:p w:rsidR="007671CE" w:rsidRPr="001D0A4C" w:rsidRDefault="007671CE" w:rsidP="001D0A4C">
      <w:pPr>
        <w:rPr>
          <w:rFonts w:cs="Arial"/>
          <w:sz w:val="22"/>
          <w:lang w:eastAsia="es-CO"/>
        </w:rPr>
      </w:pPr>
    </w:p>
    <w:p w:rsidR="001D0A4C" w:rsidRDefault="001D0A4C" w:rsidP="001D0A4C">
      <w:pPr>
        <w:rPr>
          <w:rFonts w:cs="Arial"/>
          <w:sz w:val="22"/>
          <w:lang w:eastAsia="es-CO"/>
        </w:rPr>
      </w:pPr>
      <w:r w:rsidRPr="001D0A4C">
        <w:rPr>
          <w:rFonts w:cs="Arial"/>
          <w:sz w:val="22"/>
          <w:lang w:eastAsia="es-CO"/>
        </w:rPr>
        <w:t>El sistema de personal y nomina: Sistema de información – SI desarrollado por la Secretaria de Hacienda Distrital-SHD y dado al Ministerio mediante convenio interadministrativo a cero costo, ha permitido que la entidad cuente con un sistema de información para el manejo de la nómina y la administración de las novedades generadas por los funcionarios de planta ajustado a la medida de las necesidades de la entidad.  Ajustado a las políticas de sostenibilidad la entidad no debe acudir a terceros cuando se presentan nuevos requerimientos y ajustes al software permitiendo mantener</w:t>
      </w:r>
      <w:r w:rsidR="007671CE">
        <w:rPr>
          <w:rFonts w:cs="Arial"/>
          <w:sz w:val="22"/>
          <w:lang w:eastAsia="es-CO"/>
        </w:rPr>
        <w:t xml:space="preserve"> el control total del sistema.</w:t>
      </w:r>
    </w:p>
    <w:p w:rsidR="007671CE" w:rsidRPr="001D0A4C" w:rsidRDefault="007671CE" w:rsidP="001D0A4C">
      <w:pPr>
        <w:rPr>
          <w:rFonts w:cs="Arial"/>
          <w:sz w:val="22"/>
          <w:lang w:eastAsia="es-CO"/>
        </w:rPr>
      </w:pPr>
    </w:p>
    <w:p w:rsidR="001D0A4C" w:rsidRPr="001D0A4C" w:rsidRDefault="001D0A4C" w:rsidP="001D0A4C">
      <w:pPr>
        <w:rPr>
          <w:rFonts w:cs="Arial"/>
          <w:sz w:val="22"/>
          <w:lang w:eastAsia="es-CO"/>
        </w:rPr>
      </w:pPr>
      <w:r w:rsidRPr="001D0A4C">
        <w:rPr>
          <w:rFonts w:cs="Arial"/>
          <w:sz w:val="22"/>
          <w:lang w:eastAsia="es-CO"/>
        </w:rPr>
        <w:t>Sistema de Información Documental Orfeo: Este sistema igual que el anterior se adquirió por convenio interadministrativo con la Superintendencia de servicios públicos, entregando al Ministerio de Transporte el código fuente con el cual la entidad desde Informática realiza ajustes y mejoras al software frecuentemente. Desde este sistema de información la entidad ha apropiado estrategias de cero papel, de peticiones quejas y reclamos en línea y el control de la gestión documental entrante y saliente.</w:t>
      </w:r>
    </w:p>
    <w:p w:rsidR="001D0A4C" w:rsidRPr="001D0A4C" w:rsidRDefault="001D0A4C" w:rsidP="001D0A4C">
      <w:pPr>
        <w:rPr>
          <w:rFonts w:cs="Arial"/>
          <w:sz w:val="22"/>
          <w:lang w:eastAsia="es-CO"/>
        </w:rPr>
      </w:pPr>
      <w:r w:rsidRPr="001D0A4C">
        <w:rPr>
          <w:rFonts w:cs="Arial"/>
          <w:sz w:val="22"/>
          <w:lang w:eastAsia="es-CO"/>
        </w:rPr>
        <w:t xml:space="preserve">Sistema de Información de Contratos: Hace parte también del convenio con la SHD, bajo la misma filosofía al igual que el sistema de inventarios y almacén. </w:t>
      </w:r>
    </w:p>
    <w:p w:rsidR="001D0A4C" w:rsidRPr="001D0A4C" w:rsidRDefault="001D0A4C" w:rsidP="001D0A4C">
      <w:pPr>
        <w:rPr>
          <w:rFonts w:cs="Arial"/>
          <w:sz w:val="22"/>
          <w:lang w:eastAsia="es-CO"/>
        </w:rPr>
      </w:pPr>
      <w:r w:rsidRPr="001D0A4C">
        <w:rPr>
          <w:rFonts w:cs="Arial"/>
          <w:sz w:val="22"/>
          <w:lang w:eastAsia="es-CO"/>
        </w:rPr>
        <w:t>Se ha dispuesto infraestructura tecnológica para soportar proyectos y planes que requieren de infraestructura tecnológica y recurso humano para los siguientes proyectos:</w:t>
      </w:r>
    </w:p>
    <w:p w:rsidR="001D0A4C" w:rsidRPr="007671CE" w:rsidRDefault="007671CE" w:rsidP="00442CAC">
      <w:pPr>
        <w:pStyle w:val="Prrafodelista"/>
        <w:numPr>
          <w:ilvl w:val="0"/>
          <w:numId w:val="62"/>
        </w:numPr>
        <w:rPr>
          <w:rFonts w:cs="Arial"/>
          <w:sz w:val="22"/>
          <w:lang w:eastAsia="es-CO"/>
        </w:rPr>
      </w:pPr>
      <w:r w:rsidRPr="007671CE">
        <w:rPr>
          <w:rFonts w:cs="Arial"/>
          <w:sz w:val="22"/>
          <w:lang w:eastAsia="es-CO"/>
        </w:rPr>
        <w:t>RNF: Registro Nacional Fluvial</w:t>
      </w:r>
    </w:p>
    <w:p w:rsidR="001D0A4C" w:rsidRPr="007671CE" w:rsidRDefault="001D0A4C" w:rsidP="00442CAC">
      <w:pPr>
        <w:pStyle w:val="Prrafodelista"/>
        <w:numPr>
          <w:ilvl w:val="0"/>
          <w:numId w:val="62"/>
        </w:numPr>
        <w:rPr>
          <w:rFonts w:cs="Arial"/>
          <w:sz w:val="22"/>
          <w:lang w:eastAsia="es-CO"/>
        </w:rPr>
      </w:pPr>
      <w:r w:rsidRPr="007671CE">
        <w:rPr>
          <w:rFonts w:cs="Arial"/>
          <w:sz w:val="22"/>
          <w:lang w:eastAsia="es-CO"/>
        </w:rPr>
        <w:t>SISCONMP: Sistema de información de conductores que transportan mercancías peligrosas.</w:t>
      </w:r>
    </w:p>
    <w:p w:rsidR="001D0A4C" w:rsidRPr="007671CE" w:rsidRDefault="001D0A4C" w:rsidP="00442CAC">
      <w:pPr>
        <w:pStyle w:val="Prrafodelista"/>
        <w:numPr>
          <w:ilvl w:val="0"/>
          <w:numId w:val="62"/>
        </w:numPr>
        <w:rPr>
          <w:rFonts w:cs="Arial"/>
          <w:sz w:val="22"/>
          <w:lang w:eastAsia="es-CO"/>
        </w:rPr>
      </w:pPr>
      <w:r w:rsidRPr="007671CE">
        <w:rPr>
          <w:rFonts w:cs="Arial"/>
          <w:sz w:val="22"/>
          <w:lang w:eastAsia="es-CO"/>
        </w:rPr>
        <w:t>SIAC: Sistema de Información de Auditoría y Asesorías de Control Interno.</w:t>
      </w:r>
    </w:p>
    <w:p w:rsidR="001D0A4C" w:rsidRPr="007671CE" w:rsidRDefault="001D0A4C" w:rsidP="00442CAC">
      <w:pPr>
        <w:pStyle w:val="Prrafodelista"/>
        <w:numPr>
          <w:ilvl w:val="0"/>
          <w:numId w:val="62"/>
        </w:numPr>
        <w:rPr>
          <w:rFonts w:cs="Arial"/>
          <w:sz w:val="22"/>
          <w:lang w:eastAsia="es-CO"/>
        </w:rPr>
      </w:pPr>
      <w:r w:rsidRPr="007671CE">
        <w:rPr>
          <w:rFonts w:cs="Arial"/>
          <w:sz w:val="22"/>
          <w:lang w:eastAsia="es-CO"/>
        </w:rPr>
        <w:t>Actualización de la página Web, incluyendo ajustes significativos y cambio de imagen.</w:t>
      </w:r>
    </w:p>
    <w:p w:rsidR="001D0A4C" w:rsidRPr="007671CE" w:rsidRDefault="001D0A4C" w:rsidP="00442CAC">
      <w:pPr>
        <w:pStyle w:val="Prrafodelista"/>
        <w:numPr>
          <w:ilvl w:val="0"/>
          <w:numId w:val="62"/>
        </w:numPr>
        <w:rPr>
          <w:rFonts w:cs="Arial"/>
          <w:sz w:val="22"/>
          <w:lang w:eastAsia="es-CO"/>
        </w:rPr>
      </w:pPr>
      <w:r w:rsidRPr="007671CE">
        <w:rPr>
          <w:rFonts w:cs="Arial"/>
          <w:sz w:val="22"/>
          <w:lang w:eastAsia="es-CO"/>
        </w:rPr>
        <w:t xml:space="preserve">Acompañamiento y asesoría en la automatización de trámites con la Concesión RUNT y las Subdirecciones de Tránsito y Transporte </w:t>
      </w:r>
    </w:p>
    <w:p w:rsidR="001D0A4C" w:rsidRPr="001D0A4C" w:rsidRDefault="001D0A4C" w:rsidP="001D0A4C">
      <w:pPr>
        <w:rPr>
          <w:rFonts w:cs="Arial"/>
          <w:sz w:val="22"/>
          <w:lang w:eastAsia="es-CO"/>
        </w:rPr>
      </w:pPr>
    </w:p>
    <w:p w:rsidR="001D0A4C" w:rsidRPr="001D0A4C" w:rsidRDefault="001D0A4C" w:rsidP="001D0A4C">
      <w:pPr>
        <w:rPr>
          <w:rFonts w:cs="Arial"/>
          <w:sz w:val="22"/>
          <w:lang w:eastAsia="es-CO"/>
        </w:rPr>
      </w:pPr>
      <w:r w:rsidRPr="001D0A4C">
        <w:rPr>
          <w:rFonts w:cs="Arial"/>
          <w:sz w:val="22"/>
          <w:lang w:eastAsia="es-CO"/>
        </w:rPr>
        <w:lastRenderedPageBreak/>
        <w:t>Estos sistemas de información conforman los sistemas de planificación de recursos institucionales sobre los cuales la entidad tiene el control total para realizar cualquier ajuste al código fuente sin necesidad de estar atado a un proveedor y generando costos para atender los requerimientos y demanda de nuevas funcionalidades.</w:t>
      </w:r>
    </w:p>
    <w:p w:rsidR="001D0A4C" w:rsidRPr="001D0A4C" w:rsidRDefault="001D0A4C" w:rsidP="001D0A4C">
      <w:pPr>
        <w:rPr>
          <w:rFonts w:cs="Arial"/>
          <w:sz w:val="22"/>
          <w:lang w:eastAsia="es-CO"/>
        </w:rPr>
      </w:pPr>
    </w:p>
    <w:p w:rsidR="001D0A4C" w:rsidRPr="007671CE" w:rsidRDefault="001D0A4C" w:rsidP="001D0A4C">
      <w:pPr>
        <w:rPr>
          <w:rFonts w:cs="Arial"/>
          <w:sz w:val="22"/>
          <w:u w:val="single"/>
          <w:lang w:eastAsia="es-CO"/>
        </w:rPr>
      </w:pPr>
      <w:r w:rsidRPr="007671CE">
        <w:rPr>
          <w:rFonts w:cs="Arial"/>
          <w:sz w:val="22"/>
          <w:u w:val="single"/>
          <w:lang w:eastAsia="es-CO"/>
        </w:rPr>
        <w:t>Tendencias y buenas práctica</w:t>
      </w:r>
      <w:r w:rsidR="007671CE">
        <w:rPr>
          <w:rFonts w:cs="Arial"/>
          <w:sz w:val="22"/>
          <w:u w:val="single"/>
          <w:lang w:eastAsia="es-CO"/>
        </w:rPr>
        <w:t>s del uso sostenible de las TIC:</w:t>
      </w:r>
    </w:p>
    <w:p w:rsidR="001D0A4C" w:rsidRPr="001D0A4C" w:rsidRDefault="001D0A4C" w:rsidP="001D0A4C">
      <w:pPr>
        <w:rPr>
          <w:rFonts w:cs="Arial"/>
          <w:sz w:val="22"/>
          <w:lang w:eastAsia="es-CO"/>
        </w:rPr>
      </w:pPr>
      <w:r w:rsidRPr="001D0A4C">
        <w:rPr>
          <w:rFonts w:cs="Arial"/>
          <w:sz w:val="22"/>
          <w:lang w:eastAsia="es-CO"/>
        </w:rPr>
        <w:t>Bajo la adopción de buenas prácticas conforme a los estándares de ITIL, la entidad gestiona los requerimientos de software, hardware y comunicaciones. Con el fin de consolidar estrategias relacionadas con soluciones tecnológicas, la entidad ha adoptado directrices de obligatorio cumplimiento en donde todo proyecto de tecnología debe contar con un aval que garantice la compatibilidad y capacidad administrativa para soportar y mantener el proyecto.</w:t>
      </w:r>
    </w:p>
    <w:p w:rsidR="001D0A4C" w:rsidRPr="001D0A4C" w:rsidRDefault="001D0A4C" w:rsidP="001D0A4C">
      <w:pPr>
        <w:rPr>
          <w:rFonts w:cs="Arial"/>
          <w:sz w:val="22"/>
          <w:lang w:eastAsia="es-CO"/>
        </w:rPr>
      </w:pPr>
    </w:p>
    <w:p w:rsidR="001D0A4C" w:rsidRPr="007671CE" w:rsidRDefault="001D0A4C" w:rsidP="001D0A4C">
      <w:pPr>
        <w:rPr>
          <w:rFonts w:cs="Arial"/>
          <w:sz w:val="22"/>
          <w:u w:val="single"/>
          <w:lang w:eastAsia="es-CO"/>
        </w:rPr>
      </w:pPr>
      <w:r w:rsidRPr="007671CE">
        <w:rPr>
          <w:rFonts w:cs="Arial"/>
          <w:sz w:val="22"/>
          <w:u w:val="single"/>
          <w:lang w:eastAsia="es-CO"/>
        </w:rPr>
        <w:t>Nueva infraestructura tecnológica sostenible</w:t>
      </w:r>
      <w:r w:rsidR="007671CE">
        <w:rPr>
          <w:rFonts w:cs="Arial"/>
          <w:sz w:val="22"/>
          <w:u w:val="single"/>
          <w:lang w:eastAsia="es-CO"/>
        </w:rPr>
        <w:t>:</w:t>
      </w:r>
    </w:p>
    <w:p w:rsidR="001D0A4C" w:rsidRPr="001D0A4C" w:rsidRDefault="007671CE" w:rsidP="001D0A4C">
      <w:pPr>
        <w:rPr>
          <w:rFonts w:cs="Arial"/>
          <w:sz w:val="22"/>
          <w:lang w:eastAsia="es-CO"/>
        </w:rPr>
      </w:pPr>
      <w:r>
        <w:rPr>
          <w:rFonts w:cs="Arial"/>
          <w:sz w:val="22"/>
          <w:lang w:eastAsia="es-CO"/>
        </w:rPr>
        <w:t xml:space="preserve">Datacenter Tier III.: </w:t>
      </w:r>
      <w:r w:rsidR="001D0A4C" w:rsidRPr="001D0A4C">
        <w:rPr>
          <w:rFonts w:cs="Arial"/>
          <w:sz w:val="22"/>
          <w:lang w:eastAsia="es-CO"/>
        </w:rPr>
        <w:t>La entidad debe garantizar la operación del centro de procesamiento de datos sobre el cual confluyen todos los componentes de software, hardware y comunicaciones sobre los cuales operan los servicios misionales y administrativos delegados de acuerdo a su función, según lo dispuesto en el artículo primero del Decreto 087 de enero de 2011 « El Ministerio de Transporte tiene como objetivo primordial la formulación y adopción de las políticas, planes, programas, proyectos y regulación económica en materia de transporte, tránsito e infraestructura de los modos de transporte carretero, marítimo, fluvial, férreo y aéreo y la regulación técnica en materia de transporte y tránsito de los modos carretero, marítimo, fluvial y férreo»</w:t>
      </w:r>
    </w:p>
    <w:p w:rsidR="001D0A4C" w:rsidRPr="001D0A4C" w:rsidRDefault="001D0A4C" w:rsidP="001D0A4C">
      <w:pPr>
        <w:rPr>
          <w:rFonts w:cs="Arial"/>
          <w:sz w:val="22"/>
          <w:lang w:eastAsia="es-CO"/>
        </w:rPr>
      </w:pPr>
    </w:p>
    <w:p w:rsidR="001D0A4C" w:rsidRPr="001D0A4C" w:rsidRDefault="001D0A4C" w:rsidP="001D0A4C">
      <w:pPr>
        <w:rPr>
          <w:rFonts w:cs="Arial"/>
          <w:sz w:val="22"/>
          <w:lang w:eastAsia="es-CO"/>
        </w:rPr>
      </w:pPr>
      <w:r w:rsidRPr="001D0A4C">
        <w:rPr>
          <w:rFonts w:cs="Arial"/>
          <w:sz w:val="22"/>
          <w:lang w:eastAsia="es-CO"/>
        </w:rPr>
        <w:t>Para atender las necesidades de disponibilidad de los sistemas de información institucional y su base funcional a todos y cada uno de los usuarios, lo cual requiere contar con condiciones técnicas mínimas como el alojamiento de los equipos en instalaciones que mantengan los equipos en las condiciones de temperatura, energía, seguridad, monitoreo y demás servicios complementarios propios de un centro de datos nivel oro. El alojamiento, soporte técnico, monitoreo y disponibilidad de 7X24 los 365 días del año, es garantizado desde la nueva ubicación del Datacenter.</w:t>
      </w:r>
    </w:p>
    <w:p w:rsidR="001D0A4C" w:rsidRPr="001D0A4C" w:rsidRDefault="001D0A4C" w:rsidP="001D0A4C">
      <w:pPr>
        <w:rPr>
          <w:rFonts w:cs="Arial"/>
          <w:sz w:val="22"/>
          <w:lang w:eastAsia="es-CO"/>
        </w:rPr>
      </w:pPr>
    </w:p>
    <w:p w:rsidR="001D0A4C" w:rsidRPr="007671CE" w:rsidRDefault="007671CE" w:rsidP="001D0A4C">
      <w:pPr>
        <w:rPr>
          <w:rFonts w:cs="Arial"/>
          <w:sz w:val="22"/>
          <w:u w:val="single"/>
          <w:lang w:eastAsia="es-CO"/>
        </w:rPr>
      </w:pPr>
      <w:r w:rsidRPr="007671CE">
        <w:rPr>
          <w:rFonts w:cs="Arial"/>
          <w:sz w:val="22"/>
          <w:u w:val="single"/>
          <w:lang w:eastAsia="es-CO"/>
        </w:rPr>
        <w:t>Esquema de F</w:t>
      </w:r>
      <w:r>
        <w:rPr>
          <w:rFonts w:cs="Arial"/>
          <w:sz w:val="22"/>
          <w:u w:val="single"/>
          <w:lang w:eastAsia="es-CO"/>
        </w:rPr>
        <w:t>inanciación:</w:t>
      </w:r>
    </w:p>
    <w:p w:rsidR="001D0A4C" w:rsidRPr="001D0A4C" w:rsidRDefault="001D0A4C" w:rsidP="001D0A4C">
      <w:pPr>
        <w:rPr>
          <w:rFonts w:cs="Arial"/>
          <w:sz w:val="22"/>
          <w:lang w:eastAsia="es-CO"/>
        </w:rPr>
      </w:pPr>
      <w:r w:rsidRPr="001D0A4C">
        <w:rPr>
          <w:rFonts w:cs="Arial"/>
          <w:sz w:val="22"/>
          <w:lang w:eastAsia="es-CO"/>
        </w:rPr>
        <w:lastRenderedPageBreak/>
        <w:t xml:space="preserve">Los recursos asignados para el ciclo de vida de los proyectos están dados por Recursos de la Nación. </w:t>
      </w:r>
    </w:p>
    <w:p w:rsidR="00650E7C" w:rsidRPr="001D0A4C" w:rsidRDefault="001D0A4C" w:rsidP="001D0A4C">
      <w:pPr>
        <w:rPr>
          <w:rFonts w:cs="Arial"/>
          <w:sz w:val="22"/>
          <w:lang w:eastAsia="es-CO"/>
        </w:rPr>
      </w:pPr>
      <w:r w:rsidRPr="001D0A4C">
        <w:rPr>
          <w:rFonts w:cs="Arial"/>
          <w:sz w:val="22"/>
          <w:lang w:eastAsia="es-CO"/>
        </w:rPr>
        <w:t>A continuación se muestra el presupuesto asignado para período comprendido entre los años 2014 – 2017, los recursos ejecutados y el porcentaje de ejecución de esto</w:t>
      </w:r>
    </w:p>
    <w:p w:rsidR="001B7351" w:rsidRPr="007E3988" w:rsidRDefault="001B7351" w:rsidP="001B7351">
      <w:pPr>
        <w:spacing w:line="240" w:lineRule="auto"/>
        <w:rPr>
          <w:rFonts w:cs="Arial"/>
          <w:sz w:val="22"/>
          <w:lang w:eastAsia="es-C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74"/>
        <w:gridCol w:w="1267"/>
        <w:gridCol w:w="1598"/>
        <w:gridCol w:w="1134"/>
      </w:tblGrid>
      <w:tr w:rsidR="007671CE" w:rsidRPr="00BE36CC" w:rsidTr="00A6181B">
        <w:trPr>
          <w:trHeight w:val="351"/>
          <w:jc w:val="center"/>
        </w:trPr>
        <w:tc>
          <w:tcPr>
            <w:tcW w:w="674"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Año</w:t>
            </w:r>
          </w:p>
        </w:tc>
        <w:tc>
          <w:tcPr>
            <w:tcW w:w="1267" w:type="dxa"/>
            <w:tcBorders>
              <w:top w:val="single" w:sz="4" w:space="0" w:color="808080"/>
              <w:left w:val="single" w:sz="4" w:space="0" w:color="808080"/>
              <w:bottom w:val="single" w:sz="4" w:space="0" w:color="808080"/>
              <w:right w:val="single" w:sz="4" w:space="0" w:color="808080"/>
            </w:tcBorders>
            <w:shd w:val="clear" w:color="auto" w:fill="auto"/>
            <w:vAlign w:val="center"/>
          </w:tcPr>
          <w:p w:rsidR="007671CE" w:rsidRPr="00BE36CC" w:rsidRDefault="00A6181B" w:rsidP="00A6181B">
            <w:pPr>
              <w:widowControl w:val="0"/>
              <w:suppressAutoHyphens/>
              <w:jc w:val="center"/>
              <w:rPr>
                <w:rFonts w:eastAsia="Calibri" w:cs="Arial"/>
                <w:sz w:val="20"/>
                <w:szCs w:val="20"/>
              </w:rPr>
            </w:pPr>
            <w:r>
              <w:rPr>
                <w:rFonts w:eastAsia="Calibri" w:cs="Arial"/>
                <w:sz w:val="20"/>
                <w:szCs w:val="20"/>
              </w:rPr>
              <w:t xml:space="preserve">Recursos asignados </w:t>
            </w:r>
          </w:p>
        </w:tc>
        <w:tc>
          <w:tcPr>
            <w:tcW w:w="159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7671CE" w:rsidRPr="00BE36CC" w:rsidRDefault="007671CE" w:rsidP="007671CE">
            <w:pPr>
              <w:widowControl w:val="0"/>
              <w:suppressAutoHyphens/>
              <w:jc w:val="center"/>
              <w:rPr>
                <w:rFonts w:eastAsia="Calibri" w:cs="Arial"/>
                <w:sz w:val="20"/>
                <w:szCs w:val="20"/>
              </w:rPr>
            </w:pPr>
            <w:r w:rsidRPr="00BE36CC">
              <w:rPr>
                <w:rFonts w:eastAsia="Calibri" w:cs="Arial"/>
                <w:sz w:val="20"/>
                <w:szCs w:val="20"/>
              </w:rPr>
              <w:t>Recursos Ejecutados ($)</w:t>
            </w:r>
          </w:p>
        </w:tc>
        <w:tc>
          <w:tcPr>
            <w:tcW w:w="1134"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 Ejecutado</w:t>
            </w:r>
          </w:p>
        </w:tc>
      </w:tr>
      <w:tr w:rsidR="007671CE" w:rsidRPr="00BE36CC" w:rsidTr="00A6181B">
        <w:trPr>
          <w:jc w:val="center"/>
        </w:trPr>
        <w:tc>
          <w:tcPr>
            <w:tcW w:w="67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2014</w:t>
            </w:r>
          </w:p>
        </w:tc>
        <w:tc>
          <w:tcPr>
            <w:tcW w:w="1267"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$ 2599</w:t>
            </w:r>
          </w:p>
        </w:tc>
        <w:tc>
          <w:tcPr>
            <w:tcW w:w="1598"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$ 2525</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97.2%</w:t>
            </w:r>
          </w:p>
        </w:tc>
      </w:tr>
      <w:tr w:rsidR="007671CE" w:rsidRPr="00BE36CC" w:rsidTr="00A6181B">
        <w:trPr>
          <w:jc w:val="center"/>
        </w:trPr>
        <w:tc>
          <w:tcPr>
            <w:tcW w:w="67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2015</w:t>
            </w:r>
          </w:p>
        </w:tc>
        <w:tc>
          <w:tcPr>
            <w:tcW w:w="1267"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$ 4000</w:t>
            </w:r>
          </w:p>
        </w:tc>
        <w:tc>
          <w:tcPr>
            <w:tcW w:w="1598"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$3960</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99.0%</w:t>
            </w:r>
          </w:p>
        </w:tc>
      </w:tr>
      <w:tr w:rsidR="007671CE" w:rsidRPr="00BE36CC" w:rsidTr="00A6181B">
        <w:trPr>
          <w:jc w:val="center"/>
        </w:trPr>
        <w:tc>
          <w:tcPr>
            <w:tcW w:w="67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2016</w:t>
            </w:r>
          </w:p>
        </w:tc>
        <w:tc>
          <w:tcPr>
            <w:tcW w:w="1267"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$4500</w:t>
            </w:r>
          </w:p>
        </w:tc>
        <w:tc>
          <w:tcPr>
            <w:tcW w:w="1598"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$4500</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99.9%</w:t>
            </w:r>
          </w:p>
        </w:tc>
      </w:tr>
      <w:tr w:rsidR="007671CE" w:rsidRPr="00BE36CC" w:rsidTr="00A6181B">
        <w:trPr>
          <w:jc w:val="center"/>
        </w:trPr>
        <w:tc>
          <w:tcPr>
            <w:tcW w:w="67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2017</w:t>
            </w:r>
          </w:p>
        </w:tc>
        <w:tc>
          <w:tcPr>
            <w:tcW w:w="1267"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$5000</w:t>
            </w:r>
          </w:p>
        </w:tc>
        <w:tc>
          <w:tcPr>
            <w:tcW w:w="1598"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right"/>
              <w:rPr>
                <w:rFonts w:eastAsia="Calibri" w:cs="Arial"/>
                <w:sz w:val="20"/>
                <w:szCs w:val="20"/>
              </w:rPr>
            </w:pPr>
            <w:r w:rsidRPr="00BE36CC">
              <w:rPr>
                <w:rFonts w:eastAsia="Calibri" w:cs="Arial"/>
                <w:sz w:val="20"/>
                <w:szCs w:val="20"/>
              </w:rPr>
              <w:t>$2.866</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rsidR="007671CE" w:rsidRPr="00BE36CC" w:rsidRDefault="007671CE" w:rsidP="00E41832">
            <w:pPr>
              <w:widowControl w:val="0"/>
              <w:suppressAutoHyphens/>
              <w:jc w:val="center"/>
              <w:rPr>
                <w:rFonts w:eastAsia="Calibri" w:cs="Arial"/>
                <w:sz w:val="20"/>
                <w:szCs w:val="20"/>
              </w:rPr>
            </w:pPr>
            <w:r w:rsidRPr="00BE36CC">
              <w:rPr>
                <w:rFonts w:eastAsia="Calibri" w:cs="Arial"/>
                <w:sz w:val="20"/>
                <w:szCs w:val="20"/>
              </w:rPr>
              <w:t>99.998%</w:t>
            </w:r>
          </w:p>
        </w:tc>
      </w:tr>
    </w:tbl>
    <w:p w:rsidR="00FD5E9D" w:rsidRDefault="00FD5E9D" w:rsidP="001B7351">
      <w:pPr>
        <w:spacing w:line="240" w:lineRule="auto"/>
        <w:rPr>
          <w:rFonts w:cs="Arial"/>
          <w:sz w:val="22"/>
          <w:lang w:eastAsia="es-CO"/>
        </w:rPr>
      </w:pPr>
    </w:p>
    <w:p w:rsidR="007671CE" w:rsidRDefault="007671CE" w:rsidP="001B7351">
      <w:pPr>
        <w:spacing w:line="240" w:lineRule="auto"/>
        <w:rPr>
          <w:rFonts w:cs="Arial"/>
          <w:sz w:val="22"/>
          <w:lang w:eastAsia="es-CO"/>
        </w:rPr>
      </w:pPr>
    </w:p>
    <w:p w:rsidR="007671CE" w:rsidRPr="00BE36CC" w:rsidRDefault="00BE36CC" w:rsidP="007671CE">
      <w:pPr>
        <w:rPr>
          <w:rFonts w:cs="Arial"/>
          <w:sz w:val="22"/>
          <w:u w:val="single"/>
          <w:lang w:eastAsia="es-CO"/>
        </w:rPr>
      </w:pPr>
      <w:r w:rsidRPr="00BE36CC">
        <w:rPr>
          <w:rFonts w:cs="Arial"/>
          <w:sz w:val="22"/>
          <w:u w:val="single"/>
          <w:lang w:eastAsia="es-CO"/>
        </w:rPr>
        <w:t>Logros y metas</w:t>
      </w:r>
      <w:r>
        <w:rPr>
          <w:rFonts w:cs="Arial"/>
          <w:sz w:val="22"/>
          <w:u w:val="single"/>
          <w:lang w:eastAsia="es-CO"/>
        </w:rPr>
        <w:t>:</w:t>
      </w:r>
    </w:p>
    <w:p w:rsidR="007671CE" w:rsidRPr="007671CE" w:rsidRDefault="007671CE" w:rsidP="007671CE">
      <w:pPr>
        <w:rPr>
          <w:rFonts w:cs="Arial"/>
          <w:sz w:val="22"/>
          <w:lang w:eastAsia="es-CO"/>
        </w:rPr>
      </w:pPr>
      <w:r w:rsidRPr="007671CE">
        <w:rPr>
          <w:rFonts w:cs="Arial"/>
          <w:sz w:val="22"/>
          <w:lang w:eastAsia="es-CO"/>
        </w:rPr>
        <w:t>Dentro de los logros de tipo táctico y operativo i) Actualización de las Políticas de Seguridad y privacidad de la Información y un Plan Estratégico para la Seguridad dela Información, ii) Se ha prestado asesoría en la gestión de los Sistemas de Información.</w:t>
      </w:r>
    </w:p>
    <w:p w:rsidR="007671CE" w:rsidRPr="007671CE" w:rsidRDefault="007671CE" w:rsidP="007671CE">
      <w:pPr>
        <w:rPr>
          <w:rFonts w:cs="Arial"/>
          <w:sz w:val="22"/>
          <w:lang w:eastAsia="es-CO"/>
        </w:rPr>
      </w:pPr>
    </w:p>
    <w:p w:rsidR="007671CE" w:rsidRPr="007671CE" w:rsidRDefault="007671CE" w:rsidP="007671CE">
      <w:pPr>
        <w:rPr>
          <w:rFonts w:cs="Arial"/>
          <w:sz w:val="22"/>
          <w:lang w:eastAsia="es-CO"/>
        </w:rPr>
      </w:pPr>
      <w:r w:rsidRPr="007671CE">
        <w:rPr>
          <w:rFonts w:cs="Arial"/>
          <w:sz w:val="22"/>
          <w:lang w:eastAsia="es-CO"/>
        </w:rPr>
        <w:t>a.</w:t>
      </w:r>
      <w:r w:rsidR="00BE36CC">
        <w:rPr>
          <w:rFonts w:cs="Arial"/>
          <w:sz w:val="22"/>
          <w:lang w:eastAsia="es-CO"/>
        </w:rPr>
        <w:t xml:space="preserve"> </w:t>
      </w:r>
      <w:r w:rsidRPr="007671CE">
        <w:rPr>
          <w:rFonts w:cs="Arial"/>
          <w:sz w:val="22"/>
          <w:lang w:eastAsia="es-CO"/>
        </w:rPr>
        <w:t>SIACI (Sistema de Información de Auditorias y Asesorías de Control Interno)</w:t>
      </w:r>
    </w:p>
    <w:p w:rsidR="007671CE" w:rsidRPr="007671CE" w:rsidRDefault="00BE36CC" w:rsidP="007671CE">
      <w:pPr>
        <w:rPr>
          <w:rFonts w:cs="Arial"/>
          <w:sz w:val="22"/>
          <w:lang w:eastAsia="es-CO"/>
        </w:rPr>
      </w:pPr>
      <w:r>
        <w:rPr>
          <w:rFonts w:cs="Arial"/>
          <w:sz w:val="22"/>
          <w:lang w:eastAsia="es-CO"/>
        </w:rPr>
        <w:t xml:space="preserve">b. </w:t>
      </w:r>
      <w:r w:rsidR="007671CE" w:rsidRPr="007671CE">
        <w:rPr>
          <w:rFonts w:cs="Arial"/>
          <w:sz w:val="22"/>
          <w:lang w:eastAsia="es-CO"/>
        </w:rPr>
        <w:t>SISCO (Sistema de Información de Contratos)</w:t>
      </w:r>
    </w:p>
    <w:p w:rsidR="007671CE" w:rsidRPr="007671CE" w:rsidRDefault="00BE36CC" w:rsidP="007671CE">
      <w:pPr>
        <w:rPr>
          <w:rFonts w:cs="Arial"/>
          <w:sz w:val="22"/>
          <w:lang w:eastAsia="es-CO"/>
        </w:rPr>
      </w:pPr>
      <w:r>
        <w:rPr>
          <w:rFonts w:cs="Arial"/>
          <w:sz w:val="22"/>
          <w:lang w:eastAsia="es-CO"/>
        </w:rPr>
        <w:t xml:space="preserve">c. </w:t>
      </w:r>
      <w:r w:rsidR="007671CE" w:rsidRPr="007671CE">
        <w:rPr>
          <w:rFonts w:cs="Arial"/>
          <w:sz w:val="22"/>
          <w:lang w:eastAsia="es-CO"/>
        </w:rPr>
        <w:t>SAI y SAE (Sistema de Administración de Inventarios y Suministros)</w:t>
      </w:r>
    </w:p>
    <w:p w:rsidR="007671CE" w:rsidRPr="007671CE" w:rsidRDefault="00BE36CC" w:rsidP="007671CE">
      <w:pPr>
        <w:rPr>
          <w:rFonts w:cs="Arial"/>
          <w:sz w:val="22"/>
          <w:lang w:eastAsia="es-CO"/>
        </w:rPr>
      </w:pPr>
      <w:r>
        <w:rPr>
          <w:rFonts w:cs="Arial"/>
          <w:sz w:val="22"/>
          <w:lang w:eastAsia="es-CO"/>
        </w:rPr>
        <w:t xml:space="preserve">d. </w:t>
      </w:r>
      <w:r w:rsidR="007671CE" w:rsidRPr="007671CE">
        <w:rPr>
          <w:rFonts w:cs="Arial"/>
          <w:sz w:val="22"/>
          <w:lang w:eastAsia="es-CO"/>
        </w:rPr>
        <w:t>RNUF (Registro Nacional Fluvial)</w:t>
      </w:r>
    </w:p>
    <w:p w:rsidR="007671CE" w:rsidRPr="007671CE" w:rsidRDefault="00BE36CC" w:rsidP="007671CE">
      <w:pPr>
        <w:rPr>
          <w:rFonts w:cs="Arial"/>
          <w:sz w:val="22"/>
          <w:lang w:eastAsia="es-CO"/>
        </w:rPr>
      </w:pPr>
      <w:r>
        <w:rPr>
          <w:rFonts w:cs="Arial"/>
          <w:sz w:val="22"/>
          <w:lang w:eastAsia="es-CO"/>
        </w:rPr>
        <w:t xml:space="preserve">e. </w:t>
      </w:r>
      <w:r w:rsidR="007671CE" w:rsidRPr="007671CE">
        <w:rPr>
          <w:rFonts w:cs="Arial"/>
          <w:sz w:val="22"/>
          <w:lang w:eastAsia="es-CO"/>
        </w:rPr>
        <w:t>Evaluación de Desempeño</w:t>
      </w:r>
    </w:p>
    <w:p w:rsidR="007671CE" w:rsidRPr="007671CE" w:rsidRDefault="00BE36CC" w:rsidP="007671CE">
      <w:pPr>
        <w:rPr>
          <w:rFonts w:cs="Arial"/>
          <w:sz w:val="22"/>
          <w:lang w:eastAsia="es-CO"/>
        </w:rPr>
      </w:pPr>
      <w:r>
        <w:rPr>
          <w:rFonts w:cs="Arial"/>
          <w:sz w:val="22"/>
          <w:lang w:eastAsia="es-CO"/>
        </w:rPr>
        <w:t xml:space="preserve">f. </w:t>
      </w:r>
      <w:r w:rsidR="007671CE" w:rsidRPr="007671CE">
        <w:rPr>
          <w:rFonts w:cs="Arial"/>
          <w:sz w:val="22"/>
          <w:lang w:eastAsia="es-CO"/>
        </w:rPr>
        <w:t>Portal de funcionarios</w:t>
      </w:r>
    </w:p>
    <w:p w:rsidR="007671CE" w:rsidRPr="007671CE" w:rsidRDefault="00BE36CC" w:rsidP="007671CE">
      <w:pPr>
        <w:rPr>
          <w:rFonts w:cs="Arial"/>
          <w:sz w:val="22"/>
          <w:lang w:eastAsia="es-CO"/>
        </w:rPr>
      </w:pPr>
      <w:r>
        <w:rPr>
          <w:rFonts w:cs="Arial"/>
          <w:sz w:val="22"/>
          <w:lang w:eastAsia="es-CO"/>
        </w:rPr>
        <w:t xml:space="preserve">g. </w:t>
      </w:r>
      <w:r w:rsidR="007671CE" w:rsidRPr="007671CE">
        <w:rPr>
          <w:rFonts w:cs="Arial"/>
          <w:sz w:val="22"/>
          <w:lang w:eastAsia="es-CO"/>
        </w:rPr>
        <w:t>Cursos Virtuales</w:t>
      </w:r>
    </w:p>
    <w:p w:rsidR="007671CE" w:rsidRPr="007671CE" w:rsidRDefault="00BE36CC" w:rsidP="007671CE">
      <w:pPr>
        <w:rPr>
          <w:rFonts w:cs="Arial"/>
          <w:sz w:val="22"/>
          <w:lang w:eastAsia="es-CO"/>
        </w:rPr>
      </w:pPr>
      <w:r>
        <w:rPr>
          <w:rFonts w:cs="Arial"/>
          <w:sz w:val="22"/>
          <w:lang w:eastAsia="es-CO"/>
        </w:rPr>
        <w:t xml:space="preserve">h. </w:t>
      </w:r>
      <w:r w:rsidR="007671CE" w:rsidRPr="007671CE">
        <w:rPr>
          <w:rFonts w:cs="Arial"/>
          <w:sz w:val="22"/>
          <w:lang w:eastAsia="es-CO"/>
        </w:rPr>
        <w:t>Procedimiento de control de acceso a la red.</w:t>
      </w:r>
    </w:p>
    <w:p w:rsidR="007671CE" w:rsidRPr="007671CE" w:rsidRDefault="00BE36CC" w:rsidP="007671CE">
      <w:pPr>
        <w:rPr>
          <w:rFonts w:cs="Arial"/>
          <w:sz w:val="22"/>
          <w:lang w:eastAsia="es-CO"/>
        </w:rPr>
      </w:pPr>
      <w:r>
        <w:rPr>
          <w:rFonts w:cs="Arial"/>
          <w:sz w:val="22"/>
          <w:lang w:eastAsia="es-CO"/>
        </w:rPr>
        <w:t xml:space="preserve">i. </w:t>
      </w:r>
      <w:r w:rsidR="007671CE" w:rsidRPr="007671CE">
        <w:rPr>
          <w:rFonts w:cs="Arial"/>
          <w:sz w:val="22"/>
          <w:lang w:eastAsia="es-CO"/>
        </w:rPr>
        <w:t>Website e Intranet del Ministerio de Transporte</w:t>
      </w:r>
    </w:p>
    <w:p w:rsidR="007671CE" w:rsidRPr="007671CE" w:rsidRDefault="007671CE" w:rsidP="007671CE">
      <w:pPr>
        <w:rPr>
          <w:rFonts w:cs="Arial"/>
          <w:sz w:val="22"/>
          <w:lang w:eastAsia="es-CO"/>
        </w:rPr>
      </w:pPr>
    </w:p>
    <w:p w:rsidR="007671CE" w:rsidRPr="007671CE" w:rsidRDefault="007671CE" w:rsidP="007671CE">
      <w:pPr>
        <w:rPr>
          <w:rFonts w:cs="Arial"/>
          <w:sz w:val="22"/>
          <w:lang w:eastAsia="es-CO"/>
        </w:rPr>
      </w:pPr>
      <w:r w:rsidRPr="007671CE">
        <w:rPr>
          <w:rFonts w:cs="Arial"/>
          <w:sz w:val="22"/>
          <w:lang w:eastAsia="es-CO"/>
        </w:rPr>
        <w:t>Se adelanta el Plan de Renovación Tecnológica de la entidad, buscando la mejora de la velocidad en el canal de conectividad e incrementando el almacenamiento a los servidores que soportan las operaciones de la Entidad</w:t>
      </w:r>
    </w:p>
    <w:p w:rsidR="007671CE" w:rsidRPr="007671CE" w:rsidRDefault="007671CE" w:rsidP="007671CE">
      <w:pPr>
        <w:rPr>
          <w:rFonts w:cs="Arial"/>
          <w:sz w:val="22"/>
          <w:lang w:eastAsia="es-CO"/>
        </w:rPr>
      </w:pPr>
    </w:p>
    <w:p w:rsidR="007671CE" w:rsidRPr="00BE36CC" w:rsidRDefault="007671CE" w:rsidP="007671CE">
      <w:pPr>
        <w:rPr>
          <w:rFonts w:cs="Arial"/>
          <w:sz w:val="22"/>
          <w:u w:val="single"/>
          <w:lang w:eastAsia="es-CO"/>
        </w:rPr>
      </w:pPr>
      <w:r w:rsidRPr="00BE36CC">
        <w:rPr>
          <w:rFonts w:cs="Arial"/>
          <w:sz w:val="22"/>
          <w:u w:val="single"/>
          <w:lang w:eastAsia="es-CO"/>
        </w:rPr>
        <w:t>Indicadores de Producto</w:t>
      </w:r>
      <w:r w:rsidR="00BE36CC">
        <w:rPr>
          <w:rFonts w:cs="Arial"/>
          <w:sz w:val="22"/>
          <w:u w:val="single"/>
          <w:lang w:eastAsia="es-CO"/>
        </w:rPr>
        <w:t>:</w:t>
      </w:r>
    </w:p>
    <w:p w:rsidR="007671CE" w:rsidRPr="007671CE" w:rsidRDefault="007671CE" w:rsidP="007671CE">
      <w:pPr>
        <w:rPr>
          <w:rFonts w:cs="Arial"/>
          <w:sz w:val="22"/>
          <w:lang w:eastAsia="es-CO"/>
        </w:rPr>
      </w:pPr>
      <w:r w:rsidRPr="007671CE">
        <w:rPr>
          <w:rFonts w:cs="Arial"/>
          <w:sz w:val="22"/>
          <w:lang w:eastAsia="es-CO"/>
        </w:rPr>
        <w:lastRenderedPageBreak/>
        <w:t>De acuerdo al proyecto establecido para el año 2017, el avance logrado para las metas de Productos está en un 100%.</w:t>
      </w:r>
    </w:p>
    <w:p w:rsidR="007671CE" w:rsidRDefault="007671CE" w:rsidP="001B7351">
      <w:pPr>
        <w:spacing w:line="240" w:lineRule="auto"/>
        <w:rPr>
          <w:rFonts w:cs="Arial"/>
          <w:sz w:val="22"/>
          <w:lang w:eastAsia="es-C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665"/>
        <w:gridCol w:w="1446"/>
        <w:gridCol w:w="1447"/>
      </w:tblGrid>
      <w:tr w:rsidR="00BE36CC" w:rsidRPr="006B4A79" w:rsidTr="00EE5742">
        <w:trPr>
          <w:jc w:val="center"/>
        </w:trPr>
        <w:tc>
          <w:tcPr>
            <w:tcW w:w="3665"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E36CC" w:rsidRPr="00BE36CC" w:rsidRDefault="00BE36CC" w:rsidP="00E41832">
            <w:pPr>
              <w:widowControl w:val="0"/>
              <w:suppressAutoHyphens/>
              <w:jc w:val="center"/>
              <w:rPr>
                <w:rFonts w:eastAsia="Arial Unicode MS" w:cs="Arial"/>
                <w:sz w:val="20"/>
                <w:szCs w:val="20"/>
              </w:rPr>
            </w:pPr>
            <w:r w:rsidRPr="00BE36CC">
              <w:rPr>
                <w:rFonts w:eastAsia="Arial Unicode MS" w:cs="Arial"/>
                <w:sz w:val="20"/>
                <w:szCs w:val="20"/>
              </w:rPr>
              <w:t>Indicador</w:t>
            </w:r>
          </w:p>
        </w:tc>
        <w:tc>
          <w:tcPr>
            <w:tcW w:w="144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E36CC" w:rsidRPr="00BE36CC" w:rsidRDefault="00BE36CC" w:rsidP="00E41832">
            <w:pPr>
              <w:widowControl w:val="0"/>
              <w:suppressAutoHyphens/>
              <w:jc w:val="center"/>
              <w:rPr>
                <w:rFonts w:eastAsia="Arial Unicode MS" w:cs="Arial"/>
                <w:sz w:val="20"/>
                <w:szCs w:val="20"/>
              </w:rPr>
            </w:pPr>
            <w:r w:rsidRPr="00BE36CC">
              <w:rPr>
                <w:rFonts w:eastAsia="Arial Unicode MS" w:cs="Arial"/>
                <w:sz w:val="20"/>
                <w:szCs w:val="20"/>
              </w:rPr>
              <w:t>Meta Vigente 2017</w:t>
            </w:r>
          </w:p>
        </w:tc>
        <w:tc>
          <w:tcPr>
            <w:tcW w:w="144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E36CC" w:rsidRPr="00BE36CC" w:rsidRDefault="00BE36CC" w:rsidP="00E41832">
            <w:pPr>
              <w:widowControl w:val="0"/>
              <w:suppressAutoHyphens/>
              <w:jc w:val="center"/>
              <w:rPr>
                <w:rFonts w:eastAsia="Arial Unicode MS" w:cs="Arial"/>
                <w:sz w:val="20"/>
                <w:szCs w:val="20"/>
              </w:rPr>
            </w:pPr>
            <w:r w:rsidRPr="00BE36CC">
              <w:rPr>
                <w:rFonts w:eastAsia="Arial Unicode MS" w:cs="Arial"/>
                <w:sz w:val="20"/>
                <w:szCs w:val="20"/>
              </w:rPr>
              <w:t>Cumplimiento Meta</w:t>
            </w:r>
          </w:p>
        </w:tc>
      </w:tr>
      <w:tr w:rsidR="00BE36CC" w:rsidRPr="006B4A79" w:rsidTr="00EE5742">
        <w:trPr>
          <w:jc w:val="center"/>
        </w:trPr>
        <w:tc>
          <w:tcPr>
            <w:tcW w:w="3665" w:type="dxa"/>
            <w:tcBorders>
              <w:top w:val="single" w:sz="4" w:space="0" w:color="808080"/>
              <w:left w:val="single" w:sz="4" w:space="0" w:color="808080"/>
              <w:bottom w:val="single" w:sz="4" w:space="0" w:color="808080"/>
              <w:right w:val="single" w:sz="4" w:space="0" w:color="808080"/>
            </w:tcBorders>
            <w:shd w:val="clear" w:color="auto" w:fill="auto"/>
            <w:hideMark/>
          </w:tcPr>
          <w:p w:rsidR="00BE36CC" w:rsidRPr="00BE36CC" w:rsidRDefault="00BE36CC" w:rsidP="00E41832">
            <w:pPr>
              <w:widowControl w:val="0"/>
              <w:suppressAutoHyphens/>
              <w:rPr>
                <w:rFonts w:eastAsia="Arial Unicode MS" w:cs="Arial"/>
                <w:sz w:val="20"/>
                <w:szCs w:val="20"/>
              </w:rPr>
            </w:pPr>
            <w:r w:rsidRPr="00BE36CC">
              <w:rPr>
                <w:rFonts w:eastAsia="Arial Unicode MS" w:cs="Arial"/>
                <w:sz w:val="20"/>
                <w:szCs w:val="20"/>
              </w:rPr>
              <w:t>Plataforma tecnológica del Ministerio de Transporte con mantenimiento integral</w:t>
            </w:r>
          </w:p>
        </w:tc>
        <w:tc>
          <w:tcPr>
            <w:tcW w:w="144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E36CC" w:rsidRPr="00BE36CC" w:rsidRDefault="00BE36CC" w:rsidP="00E41832">
            <w:pPr>
              <w:widowControl w:val="0"/>
              <w:suppressAutoHyphens/>
              <w:jc w:val="center"/>
              <w:rPr>
                <w:rFonts w:eastAsia="Arial Unicode MS" w:cs="Arial"/>
                <w:sz w:val="20"/>
                <w:szCs w:val="20"/>
              </w:rPr>
            </w:pPr>
            <w:r w:rsidRPr="00BE36CC">
              <w:rPr>
                <w:rFonts w:eastAsia="Arial Unicode MS" w:cs="Arial"/>
                <w:sz w:val="20"/>
                <w:szCs w:val="20"/>
              </w:rPr>
              <w:t>100%</w:t>
            </w:r>
          </w:p>
        </w:tc>
        <w:tc>
          <w:tcPr>
            <w:tcW w:w="1447"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BE36CC" w:rsidRPr="00BE36CC" w:rsidRDefault="00BE36CC" w:rsidP="00E41832">
            <w:pPr>
              <w:widowControl w:val="0"/>
              <w:suppressAutoHyphens/>
              <w:jc w:val="center"/>
              <w:rPr>
                <w:rFonts w:eastAsia="Arial Unicode MS" w:cs="Arial"/>
                <w:sz w:val="20"/>
                <w:szCs w:val="20"/>
              </w:rPr>
            </w:pPr>
            <w:r w:rsidRPr="00BE36CC">
              <w:rPr>
                <w:rFonts w:eastAsia="Arial Unicode MS" w:cs="Arial"/>
                <w:sz w:val="20"/>
                <w:szCs w:val="20"/>
              </w:rPr>
              <w:t>100%</w:t>
            </w:r>
          </w:p>
        </w:tc>
      </w:tr>
    </w:tbl>
    <w:p w:rsidR="007671CE" w:rsidRDefault="007671CE" w:rsidP="001B7351">
      <w:pPr>
        <w:spacing w:line="240" w:lineRule="auto"/>
        <w:rPr>
          <w:rFonts w:cs="Arial"/>
          <w:sz w:val="22"/>
          <w:lang w:eastAsia="es-CO"/>
        </w:rPr>
      </w:pPr>
    </w:p>
    <w:p w:rsidR="009D2521" w:rsidRPr="009D2521" w:rsidRDefault="009D2521" w:rsidP="009D2521">
      <w:pPr>
        <w:rPr>
          <w:rFonts w:cs="Arial"/>
          <w:sz w:val="22"/>
          <w:u w:val="single"/>
          <w:lang w:eastAsia="es-CO"/>
        </w:rPr>
      </w:pPr>
      <w:r w:rsidRPr="009D2521">
        <w:rPr>
          <w:rFonts w:cs="Arial"/>
          <w:sz w:val="22"/>
          <w:u w:val="single"/>
          <w:lang w:eastAsia="es-CO"/>
        </w:rPr>
        <w:t>Indicadores de Gestión</w:t>
      </w:r>
      <w:r>
        <w:rPr>
          <w:rFonts w:cs="Arial"/>
          <w:sz w:val="22"/>
          <w:u w:val="single"/>
          <w:lang w:eastAsia="es-CO"/>
        </w:rPr>
        <w:t>:</w:t>
      </w:r>
    </w:p>
    <w:p w:rsidR="007671CE" w:rsidRPr="009D2521" w:rsidRDefault="009D2521" w:rsidP="009D2521">
      <w:pPr>
        <w:rPr>
          <w:rFonts w:cs="Arial"/>
          <w:sz w:val="22"/>
          <w:lang w:eastAsia="es-CO"/>
        </w:rPr>
      </w:pPr>
      <w:r w:rsidRPr="009D2521">
        <w:rPr>
          <w:rFonts w:cs="Arial"/>
          <w:sz w:val="22"/>
          <w:lang w:eastAsia="es-CO"/>
        </w:rPr>
        <w:t>Según compromiso del proyecto establecido para el año 2017, se logró el avance en las metas de Gestión en un 99,998%.</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98"/>
        <w:gridCol w:w="1446"/>
        <w:gridCol w:w="1550"/>
      </w:tblGrid>
      <w:tr w:rsidR="009D2521" w:rsidRPr="009D2521" w:rsidTr="00EA6BEB">
        <w:trPr>
          <w:jc w:val="center"/>
        </w:trPr>
        <w:tc>
          <w:tcPr>
            <w:tcW w:w="429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b/>
                <w:sz w:val="20"/>
                <w:szCs w:val="20"/>
              </w:rPr>
            </w:pPr>
            <w:r w:rsidRPr="009D2521">
              <w:rPr>
                <w:rFonts w:eastAsia="Arial Unicode MS" w:cs="Arial"/>
                <w:b/>
                <w:sz w:val="20"/>
                <w:szCs w:val="20"/>
              </w:rPr>
              <w:t>Indicador</w:t>
            </w:r>
          </w:p>
        </w:tc>
        <w:tc>
          <w:tcPr>
            <w:tcW w:w="144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b/>
                <w:sz w:val="20"/>
                <w:szCs w:val="20"/>
              </w:rPr>
            </w:pPr>
            <w:r w:rsidRPr="009D2521">
              <w:rPr>
                <w:rFonts w:eastAsia="Arial Unicode MS" w:cs="Arial"/>
                <w:b/>
                <w:sz w:val="20"/>
                <w:szCs w:val="20"/>
              </w:rPr>
              <w:t>Meta Vigente 2017</w:t>
            </w:r>
          </w:p>
        </w:tc>
        <w:tc>
          <w:tcPr>
            <w:tcW w:w="155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b/>
                <w:sz w:val="20"/>
                <w:szCs w:val="20"/>
              </w:rPr>
            </w:pPr>
            <w:r w:rsidRPr="009D2521">
              <w:rPr>
                <w:rFonts w:eastAsia="Arial Unicode MS" w:cs="Arial"/>
                <w:b/>
                <w:sz w:val="20"/>
                <w:szCs w:val="20"/>
              </w:rPr>
              <w:t>Cumplimiento Meta</w:t>
            </w:r>
          </w:p>
        </w:tc>
      </w:tr>
      <w:tr w:rsidR="009D2521" w:rsidRPr="009D2521" w:rsidTr="00EA6BEB">
        <w:trPr>
          <w:jc w:val="center"/>
        </w:trPr>
        <w:tc>
          <w:tcPr>
            <w:tcW w:w="4298" w:type="dxa"/>
            <w:tcBorders>
              <w:top w:val="single" w:sz="4" w:space="0" w:color="808080"/>
              <w:left w:val="single" w:sz="4" w:space="0" w:color="808080"/>
              <w:bottom w:val="single" w:sz="4" w:space="0" w:color="808080"/>
              <w:right w:val="single" w:sz="4" w:space="0" w:color="808080"/>
            </w:tcBorders>
            <w:shd w:val="clear" w:color="auto" w:fill="auto"/>
            <w:hideMark/>
          </w:tcPr>
          <w:p w:rsidR="009D2521" w:rsidRPr="009D2521" w:rsidRDefault="009D2521" w:rsidP="00E41832">
            <w:pPr>
              <w:widowControl w:val="0"/>
              <w:suppressAutoHyphens/>
              <w:rPr>
                <w:rFonts w:eastAsia="Arial Unicode MS" w:cs="Arial"/>
                <w:sz w:val="20"/>
                <w:szCs w:val="20"/>
              </w:rPr>
            </w:pPr>
            <w:r w:rsidRPr="009D2521">
              <w:rPr>
                <w:rFonts w:eastAsia="Arial Unicode MS" w:cs="Arial"/>
                <w:sz w:val="20"/>
                <w:szCs w:val="20"/>
              </w:rPr>
              <w:t>Servicio de soporte informáticos atendidos</w:t>
            </w:r>
          </w:p>
        </w:tc>
        <w:tc>
          <w:tcPr>
            <w:tcW w:w="144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sz w:val="20"/>
                <w:szCs w:val="20"/>
              </w:rPr>
            </w:pPr>
            <w:r w:rsidRPr="009D2521">
              <w:rPr>
                <w:rFonts w:eastAsia="Arial Unicode MS" w:cs="Arial"/>
                <w:sz w:val="20"/>
                <w:szCs w:val="20"/>
              </w:rPr>
              <w:t>10612</w:t>
            </w:r>
          </w:p>
        </w:tc>
        <w:tc>
          <w:tcPr>
            <w:tcW w:w="155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sz w:val="20"/>
                <w:szCs w:val="20"/>
              </w:rPr>
            </w:pPr>
            <w:r w:rsidRPr="009D2521">
              <w:rPr>
                <w:rFonts w:eastAsia="Arial Unicode MS" w:cs="Arial"/>
                <w:sz w:val="20"/>
                <w:szCs w:val="20"/>
              </w:rPr>
              <w:t>100%</w:t>
            </w:r>
          </w:p>
        </w:tc>
      </w:tr>
      <w:tr w:rsidR="009D2521" w:rsidRPr="009D2521" w:rsidTr="00EA6BEB">
        <w:trPr>
          <w:jc w:val="center"/>
        </w:trPr>
        <w:tc>
          <w:tcPr>
            <w:tcW w:w="4298" w:type="dxa"/>
            <w:tcBorders>
              <w:top w:val="single" w:sz="4" w:space="0" w:color="808080"/>
              <w:left w:val="single" w:sz="4" w:space="0" w:color="808080"/>
              <w:bottom w:val="single" w:sz="4" w:space="0" w:color="808080"/>
              <w:right w:val="single" w:sz="4" w:space="0" w:color="808080"/>
            </w:tcBorders>
            <w:shd w:val="clear" w:color="auto" w:fill="auto"/>
            <w:hideMark/>
          </w:tcPr>
          <w:p w:rsidR="009D2521" w:rsidRPr="009D2521" w:rsidRDefault="009D2521" w:rsidP="00E41832">
            <w:pPr>
              <w:widowControl w:val="0"/>
              <w:suppressAutoHyphens/>
              <w:rPr>
                <w:rFonts w:eastAsia="Arial Unicode MS" w:cs="Arial"/>
                <w:sz w:val="20"/>
                <w:szCs w:val="20"/>
              </w:rPr>
            </w:pPr>
            <w:r w:rsidRPr="009D2521">
              <w:rPr>
                <w:rFonts w:eastAsia="Arial Unicode MS" w:cs="Arial"/>
                <w:sz w:val="20"/>
                <w:szCs w:val="20"/>
              </w:rPr>
              <w:t>Desarrollos informáticos adquiridos o actualizados</w:t>
            </w:r>
          </w:p>
        </w:tc>
        <w:tc>
          <w:tcPr>
            <w:tcW w:w="144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sz w:val="20"/>
                <w:szCs w:val="20"/>
              </w:rPr>
            </w:pPr>
            <w:r w:rsidRPr="009D2521">
              <w:rPr>
                <w:rFonts w:eastAsia="Arial Unicode MS" w:cs="Arial"/>
                <w:sz w:val="20"/>
                <w:szCs w:val="20"/>
              </w:rPr>
              <w:t>10</w:t>
            </w:r>
          </w:p>
        </w:tc>
        <w:tc>
          <w:tcPr>
            <w:tcW w:w="155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sz w:val="20"/>
                <w:szCs w:val="20"/>
              </w:rPr>
            </w:pPr>
            <w:r w:rsidRPr="009D2521">
              <w:rPr>
                <w:rFonts w:eastAsia="Arial Unicode MS" w:cs="Arial"/>
                <w:sz w:val="20"/>
                <w:szCs w:val="20"/>
              </w:rPr>
              <w:t>100%</w:t>
            </w:r>
          </w:p>
        </w:tc>
      </w:tr>
      <w:tr w:rsidR="009D2521" w:rsidRPr="009D2521" w:rsidTr="00EA6BEB">
        <w:trPr>
          <w:jc w:val="center"/>
        </w:trPr>
        <w:tc>
          <w:tcPr>
            <w:tcW w:w="4298" w:type="dxa"/>
            <w:tcBorders>
              <w:top w:val="single" w:sz="4" w:space="0" w:color="808080"/>
              <w:left w:val="single" w:sz="4" w:space="0" w:color="808080"/>
              <w:bottom w:val="single" w:sz="4" w:space="0" w:color="808080"/>
              <w:right w:val="single" w:sz="4" w:space="0" w:color="808080"/>
            </w:tcBorders>
            <w:shd w:val="clear" w:color="auto" w:fill="auto"/>
            <w:hideMark/>
          </w:tcPr>
          <w:p w:rsidR="009D2521" w:rsidRPr="009D2521" w:rsidRDefault="009D2521" w:rsidP="00E41832">
            <w:pPr>
              <w:widowControl w:val="0"/>
              <w:suppressAutoHyphens/>
              <w:rPr>
                <w:rFonts w:eastAsia="Arial Unicode MS" w:cs="Arial"/>
                <w:sz w:val="20"/>
                <w:szCs w:val="20"/>
              </w:rPr>
            </w:pPr>
            <w:r w:rsidRPr="009D2521">
              <w:rPr>
                <w:rFonts w:eastAsia="Arial Unicode MS" w:cs="Arial"/>
                <w:sz w:val="20"/>
                <w:szCs w:val="20"/>
              </w:rPr>
              <w:t>Contratos suscritos</w:t>
            </w:r>
          </w:p>
        </w:tc>
        <w:tc>
          <w:tcPr>
            <w:tcW w:w="1446"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sz w:val="20"/>
                <w:szCs w:val="20"/>
              </w:rPr>
            </w:pPr>
            <w:r w:rsidRPr="009D2521">
              <w:rPr>
                <w:rFonts w:eastAsia="Arial Unicode MS" w:cs="Arial"/>
                <w:sz w:val="20"/>
                <w:szCs w:val="20"/>
              </w:rPr>
              <w:t>36</w:t>
            </w:r>
          </w:p>
        </w:tc>
        <w:tc>
          <w:tcPr>
            <w:tcW w:w="155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9D2521" w:rsidRPr="009D2521" w:rsidRDefault="009D2521" w:rsidP="00E41832">
            <w:pPr>
              <w:widowControl w:val="0"/>
              <w:suppressAutoHyphens/>
              <w:jc w:val="center"/>
              <w:rPr>
                <w:rFonts w:eastAsia="Arial Unicode MS" w:cs="Arial"/>
                <w:sz w:val="20"/>
                <w:szCs w:val="20"/>
              </w:rPr>
            </w:pPr>
            <w:r w:rsidRPr="009D2521">
              <w:rPr>
                <w:rFonts w:eastAsia="Arial Unicode MS" w:cs="Arial"/>
                <w:sz w:val="20"/>
                <w:szCs w:val="20"/>
              </w:rPr>
              <w:t>100%</w:t>
            </w:r>
          </w:p>
        </w:tc>
      </w:tr>
    </w:tbl>
    <w:p w:rsidR="00E35FFD" w:rsidRPr="00E35FFD" w:rsidRDefault="00E35FFD" w:rsidP="00E35FFD">
      <w:pPr>
        <w:rPr>
          <w:rFonts w:cs="Arial"/>
          <w:sz w:val="22"/>
          <w:u w:val="single"/>
          <w:lang w:eastAsia="es-CO"/>
        </w:rPr>
      </w:pPr>
      <w:r w:rsidRPr="00E35FFD">
        <w:rPr>
          <w:rFonts w:cs="Arial"/>
          <w:sz w:val="22"/>
          <w:u w:val="single"/>
          <w:lang w:eastAsia="es-CO"/>
        </w:rPr>
        <w:t>Indicadores de Disponibilidad</w:t>
      </w:r>
      <w:r>
        <w:rPr>
          <w:rFonts w:cs="Arial"/>
          <w:sz w:val="22"/>
          <w:u w:val="single"/>
          <w:lang w:eastAsia="es-CO"/>
        </w:rPr>
        <w:t>:</w:t>
      </w:r>
    </w:p>
    <w:p w:rsidR="00E35FFD" w:rsidRPr="006B4A79" w:rsidRDefault="00E35FFD" w:rsidP="00E35FFD">
      <w:pPr>
        <w:pStyle w:val="Encabezado"/>
        <w:spacing w:line="360" w:lineRule="auto"/>
        <w:ind w:left="709"/>
        <w:rPr>
          <w:rFonts w:ascii="Futura Bk BT" w:hAnsi="Futura Bk BT" w:cs="Calibri"/>
        </w:rPr>
      </w:pPr>
    </w:p>
    <w:tbl>
      <w:tblPr>
        <w:tblStyle w:val="Tablaconcuadrcula"/>
        <w:tblW w:w="0" w:type="auto"/>
        <w:tblInd w:w="709" w:type="dxa"/>
        <w:tblLook w:val="04A0" w:firstRow="1" w:lastRow="0" w:firstColumn="1" w:lastColumn="0" w:noHBand="0" w:noVBand="1"/>
      </w:tblPr>
      <w:tblGrid>
        <w:gridCol w:w="4815"/>
        <w:gridCol w:w="1984"/>
      </w:tblGrid>
      <w:tr w:rsidR="00E35FFD" w:rsidRPr="00E35FFD" w:rsidTr="00E41832">
        <w:tc>
          <w:tcPr>
            <w:tcW w:w="4815" w:type="dxa"/>
          </w:tcPr>
          <w:p w:rsidR="00E35FFD" w:rsidRPr="00E35FFD" w:rsidRDefault="00E35FFD" w:rsidP="00E41832">
            <w:pPr>
              <w:pStyle w:val="Encabezado"/>
              <w:spacing w:line="360" w:lineRule="auto"/>
              <w:jc w:val="center"/>
              <w:rPr>
                <w:rFonts w:cs="Arial"/>
                <w:b/>
                <w:sz w:val="20"/>
                <w:szCs w:val="20"/>
              </w:rPr>
            </w:pPr>
            <w:r w:rsidRPr="00E35FFD">
              <w:rPr>
                <w:rFonts w:cs="Arial"/>
                <w:b/>
                <w:sz w:val="20"/>
                <w:szCs w:val="20"/>
              </w:rPr>
              <w:t>Indicador</w:t>
            </w:r>
          </w:p>
        </w:tc>
        <w:tc>
          <w:tcPr>
            <w:tcW w:w="1984" w:type="dxa"/>
          </w:tcPr>
          <w:p w:rsidR="00E35FFD" w:rsidRPr="00E35FFD" w:rsidRDefault="00E35FFD" w:rsidP="00E41832">
            <w:pPr>
              <w:pStyle w:val="Encabezado"/>
              <w:spacing w:line="360" w:lineRule="auto"/>
              <w:jc w:val="center"/>
              <w:rPr>
                <w:rFonts w:cs="Arial"/>
                <w:b/>
                <w:sz w:val="20"/>
                <w:szCs w:val="20"/>
              </w:rPr>
            </w:pPr>
            <w:r w:rsidRPr="00E35FFD">
              <w:rPr>
                <w:rFonts w:cs="Arial"/>
                <w:b/>
                <w:sz w:val="20"/>
                <w:szCs w:val="20"/>
              </w:rPr>
              <w:t>% Promedio 2017</w:t>
            </w:r>
          </w:p>
        </w:tc>
      </w:tr>
      <w:tr w:rsidR="00E35FFD" w:rsidRPr="00E35FFD" w:rsidTr="00E41832">
        <w:tc>
          <w:tcPr>
            <w:tcW w:w="4815" w:type="dxa"/>
          </w:tcPr>
          <w:p w:rsidR="00E35FFD" w:rsidRPr="00E35FFD" w:rsidRDefault="00E35FFD" w:rsidP="00E41832">
            <w:pPr>
              <w:pStyle w:val="Encabezado"/>
              <w:spacing w:line="360" w:lineRule="auto"/>
              <w:rPr>
                <w:rFonts w:cs="Arial"/>
                <w:sz w:val="20"/>
                <w:szCs w:val="20"/>
              </w:rPr>
            </w:pPr>
            <w:r w:rsidRPr="00E35FFD">
              <w:rPr>
                <w:rFonts w:cs="Arial"/>
                <w:sz w:val="20"/>
                <w:szCs w:val="20"/>
              </w:rPr>
              <w:t>Atención de incidentes</w:t>
            </w:r>
          </w:p>
        </w:tc>
        <w:tc>
          <w:tcPr>
            <w:tcW w:w="1984" w:type="dxa"/>
          </w:tcPr>
          <w:p w:rsidR="00E35FFD" w:rsidRPr="00E35FFD" w:rsidRDefault="00E35FFD" w:rsidP="00E41832">
            <w:pPr>
              <w:pStyle w:val="Encabezado"/>
              <w:spacing w:line="360" w:lineRule="auto"/>
              <w:jc w:val="center"/>
              <w:rPr>
                <w:rFonts w:cs="Arial"/>
                <w:sz w:val="20"/>
                <w:szCs w:val="20"/>
              </w:rPr>
            </w:pPr>
            <w:r w:rsidRPr="00E35FFD">
              <w:rPr>
                <w:rFonts w:cs="Arial"/>
                <w:sz w:val="20"/>
                <w:szCs w:val="20"/>
              </w:rPr>
              <w:t>99,67%</w:t>
            </w:r>
          </w:p>
        </w:tc>
      </w:tr>
      <w:tr w:rsidR="00E35FFD" w:rsidRPr="00E35FFD" w:rsidTr="00E41832">
        <w:tc>
          <w:tcPr>
            <w:tcW w:w="4815" w:type="dxa"/>
          </w:tcPr>
          <w:p w:rsidR="00E35FFD" w:rsidRPr="00E35FFD" w:rsidRDefault="00E35FFD" w:rsidP="00E41832">
            <w:pPr>
              <w:pStyle w:val="Encabezado"/>
              <w:spacing w:line="360" w:lineRule="auto"/>
              <w:rPr>
                <w:rFonts w:cs="Arial"/>
                <w:sz w:val="20"/>
                <w:szCs w:val="20"/>
              </w:rPr>
            </w:pPr>
            <w:r w:rsidRPr="00E35FFD">
              <w:rPr>
                <w:rFonts w:cs="Arial"/>
                <w:sz w:val="20"/>
                <w:szCs w:val="20"/>
              </w:rPr>
              <w:t>Disponibilidad de sistemas de información</w:t>
            </w:r>
          </w:p>
        </w:tc>
        <w:tc>
          <w:tcPr>
            <w:tcW w:w="1984" w:type="dxa"/>
          </w:tcPr>
          <w:p w:rsidR="00E35FFD" w:rsidRPr="00E35FFD" w:rsidRDefault="00E35FFD" w:rsidP="00E41832">
            <w:pPr>
              <w:pStyle w:val="Encabezado"/>
              <w:spacing w:line="360" w:lineRule="auto"/>
              <w:jc w:val="center"/>
              <w:rPr>
                <w:rFonts w:cs="Arial"/>
                <w:sz w:val="20"/>
                <w:szCs w:val="20"/>
              </w:rPr>
            </w:pPr>
            <w:r w:rsidRPr="00E35FFD">
              <w:rPr>
                <w:rFonts w:cs="Arial"/>
                <w:sz w:val="20"/>
                <w:szCs w:val="20"/>
              </w:rPr>
              <w:t>98,40%</w:t>
            </w:r>
          </w:p>
        </w:tc>
      </w:tr>
      <w:tr w:rsidR="00E35FFD" w:rsidRPr="00E35FFD" w:rsidTr="00E41832">
        <w:tc>
          <w:tcPr>
            <w:tcW w:w="4815" w:type="dxa"/>
          </w:tcPr>
          <w:p w:rsidR="00E35FFD" w:rsidRPr="00E35FFD" w:rsidRDefault="00E35FFD" w:rsidP="00E41832">
            <w:pPr>
              <w:pStyle w:val="Encabezado"/>
              <w:spacing w:line="360" w:lineRule="auto"/>
              <w:rPr>
                <w:rFonts w:cs="Arial"/>
                <w:sz w:val="20"/>
                <w:szCs w:val="20"/>
              </w:rPr>
            </w:pPr>
            <w:r w:rsidRPr="00E35FFD">
              <w:rPr>
                <w:rFonts w:cs="Arial"/>
                <w:sz w:val="20"/>
                <w:szCs w:val="20"/>
              </w:rPr>
              <w:t>Disponibilidad en comunicaciones</w:t>
            </w:r>
          </w:p>
        </w:tc>
        <w:tc>
          <w:tcPr>
            <w:tcW w:w="1984" w:type="dxa"/>
          </w:tcPr>
          <w:p w:rsidR="00E35FFD" w:rsidRPr="00E35FFD" w:rsidRDefault="00E35FFD" w:rsidP="00E41832">
            <w:pPr>
              <w:pStyle w:val="Encabezado"/>
              <w:spacing w:line="360" w:lineRule="auto"/>
              <w:jc w:val="center"/>
              <w:rPr>
                <w:rFonts w:cs="Arial"/>
                <w:sz w:val="20"/>
                <w:szCs w:val="20"/>
              </w:rPr>
            </w:pPr>
            <w:r w:rsidRPr="00E35FFD">
              <w:rPr>
                <w:rFonts w:cs="Arial"/>
                <w:sz w:val="20"/>
                <w:szCs w:val="20"/>
              </w:rPr>
              <w:t>98,76%</w:t>
            </w:r>
          </w:p>
        </w:tc>
      </w:tr>
      <w:tr w:rsidR="00E35FFD" w:rsidRPr="00E35FFD" w:rsidTr="00E41832">
        <w:tc>
          <w:tcPr>
            <w:tcW w:w="4815" w:type="dxa"/>
          </w:tcPr>
          <w:p w:rsidR="00E35FFD" w:rsidRPr="00E35FFD" w:rsidRDefault="00E35FFD" w:rsidP="00E41832">
            <w:pPr>
              <w:pStyle w:val="Encabezado"/>
              <w:spacing w:line="360" w:lineRule="auto"/>
              <w:rPr>
                <w:rFonts w:cs="Arial"/>
                <w:sz w:val="20"/>
                <w:szCs w:val="20"/>
              </w:rPr>
            </w:pPr>
            <w:r w:rsidRPr="00E35FFD">
              <w:rPr>
                <w:rFonts w:cs="Arial"/>
                <w:sz w:val="20"/>
                <w:szCs w:val="20"/>
              </w:rPr>
              <w:t>Disponibilidad en infraestructura</w:t>
            </w:r>
          </w:p>
        </w:tc>
        <w:tc>
          <w:tcPr>
            <w:tcW w:w="1984" w:type="dxa"/>
          </w:tcPr>
          <w:p w:rsidR="00E35FFD" w:rsidRPr="00E35FFD" w:rsidRDefault="00E35FFD" w:rsidP="00E41832">
            <w:pPr>
              <w:pStyle w:val="Encabezado"/>
              <w:spacing w:line="360" w:lineRule="auto"/>
              <w:jc w:val="center"/>
              <w:rPr>
                <w:rFonts w:cs="Arial"/>
                <w:sz w:val="20"/>
                <w:szCs w:val="20"/>
              </w:rPr>
            </w:pPr>
            <w:r w:rsidRPr="00E35FFD">
              <w:rPr>
                <w:rFonts w:cs="Arial"/>
                <w:sz w:val="20"/>
                <w:szCs w:val="20"/>
              </w:rPr>
              <w:t>100,00%</w:t>
            </w:r>
          </w:p>
        </w:tc>
      </w:tr>
      <w:tr w:rsidR="00E35FFD" w:rsidRPr="00E35FFD" w:rsidTr="00E41832">
        <w:tc>
          <w:tcPr>
            <w:tcW w:w="4815" w:type="dxa"/>
          </w:tcPr>
          <w:p w:rsidR="00E35FFD" w:rsidRPr="00E35FFD" w:rsidRDefault="00E35FFD" w:rsidP="00E41832">
            <w:pPr>
              <w:pStyle w:val="Encabezado"/>
              <w:spacing w:line="360" w:lineRule="auto"/>
              <w:rPr>
                <w:rFonts w:cs="Arial"/>
                <w:sz w:val="20"/>
                <w:szCs w:val="20"/>
              </w:rPr>
            </w:pPr>
            <w:r w:rsidRPr="00E35FFD">
              <w:rPr>
                <w:rFonts w:cs="Arial"/>
                <w:sz w:val="20"/>
                <w:szCs w:val="20"/>
              </w:rPr>
              <w:t>Satisfacción del usuario.</w:t>
            </w:r>
          </w:p>
        </w:tc>
        <w:tc>
          <w:tcPr>
            <w:tcW w:w="1984" w:type="dxa"/>
          </w:tcPr>
          <w:p w:rsidR="00E35FFD" w:rsidRPr="00E35FFD" w:rsidRDefault="00E35FFD" w:rsidP="00E41832">
            <w:pPr>
              <w:pStyle w:val="Encabezado"/>
              <w:spacing w:line="360" w:lineRule="auto"/>
              <w:jc w:val="center"/>
              <w:rPr>
                <w:rFonts w:cs="Arial"/>
                <w:sz w:val="20"/>
                <w:szCs w:val="20"/>
              </w:rPr>
            </w:pPr>
            <w:r w:rsidRPr="00E35FFD">
              <w:rPr>
                <w:rFonts w:cs="Arial"/>
                <w:sz w:val="20"/>
                <w:szCs w:val="20"/>
              </w:rPr>
              <w:t>99,88%</w:t>
            </w:r>
          </w:p>
        </w:tc>
      </w:tr>
    </w:tbl>
    <w:p w:rsidR="00E35FFD" w:rsidRPr="006B4A79" w:rsidRDefault="00E35FFD" w:rsidP="00E35FFD">
      <w:pPr>
        <w:pStyle w:val="Encabezado"/>
        <w:spacing w:line="360" w:lineRule="auto"/>
        <w:ind w:left="709"/>
        <w:rPr>
          <w:rFonts w:ascii="Futura Bk BT" w:hAnsi="Futura Bk BT" w:cs="Calibri"/>
        </w:rPr>
      </w:pPr>
    </w:p>
    <w:p w:rsidR="00E35FFD" w:rsidRPr="00E35FFD" w:rsidRDefault="00E35FFD" w:rsidP="00E35FFD">
      <w:pPr>
        <w:rPr>
          <w:rFonts w:cs="Arial"/>
          <w:sz w:val="22"/>
          <w:u w:val="single"/>
          <w:lang w:eastAsia="es-CO"/>
        </w:rPr>
      </w:pPr>
      <w:r w:rsidRPr="00E35FFD">
        <w:rPr>
          <w:rFonts w:cs="Arial"/>
          <w:sz w:val="22"/>
          <w:u w:val="single"/>
          <w:lang w:eastAsia="es-CO"/>
        </w:rPr>
        <w:t>Restricciones</w:t>
      </w:r>
      <w:r>
        <w:rPr>
          <w:rFonts w:cs="Arial"/>
          <w:sz w:val="22"/>
          <w:u w:val="single"/>
          <w:lang w:eastAsia="es-CO"/>
        </w:rPr>
        <w:t xml:space="preserve"> y limitaciones:</w:t>
      </w:r>
    </w:p>
    <w:p w:rsidR="00E35FFD" w:rsidRPr="00E35FFD" w:rsidRDefault="00E35FFD" w:rsidP="00E35FFD">
      <w:pPr>
        <w:rPr>
          <w:rFonts w:cs="Arial"/>
          <w:sz w:val="22"/>
          <w:lang w:eastAsia="es-CO"/>
        </w:rPr>
      </w:pPr>
      <w:r w:rsidRPr="00E35FFD">
        <w:rPr>
          <w:rFonts w:cs="Arial"/>
          <w:sz w:val="22"/>
          <w:lang w:eastAsia="es-CO"/>
        </w:rPr>
        <w:t>Las TIC´s para el Ministerio de Transporte y el Gobierno Nacional son la base para avanzar hacia un estado más competitivo y eficiente. Dado el escaso presupuesto asignado a tecnología no cubre la totalidad de los proyectos programados y proyectados; se hace necesario estar realizando ajustes de tal forma que se mantenga la disponibilidad de la plataforma generando una brecha en la capacidad de respuesta vs la demanda en las TIC´s.</w:t>
      </w:r>
    </w:p>
    <w:p w:rsidR="00E35FFD" w:rsidRPr="00E35FFD" w:rsidRDefault="00E35FFD" w:rsidP="00E35FFD">
      <w:pPr>
        <w:rPr>
          <w:rFonts w:cs="Arial"/>
          <w:sz w:val="22"/>
          <w:lang w:eastAsia="es-CO"/>
        </w:rPr>
      </w:pPr>
      <w:r w:rsidRPr="00E35FFD">
        <w:rPr>
          <w:rFonts w:cs="Arial"/>
          <w:sz w:val="22"/>
          <w:lang w:eastAsia="es-CO"/>
        </w:rPr>
        <w:lastRenderedPageBreak/>
        <w:t>Por lo anterior se hace necesario reforzar los recursos para tener capacidad de apalancar el rápido crecimiento del gobierno digital.</w:t>
      </w:r>
    </w:p>
    <w:p w:rsidR="00E35FFD" w:rsidRPr="00E35FFD" w:rsidRDefault="00E35FFD" w:rsidP="00E35FFD">
      <w:pPr>
        <w:rPr>
          <w:rFonts w:cs="Arial"/>
          <w:sz w:val="22"/>
          <w:u w:val="single"/>
          <w:lang w:eastAsia="es-CO"/>
        </w:rPr>
      </w:pPr>
    </w:p>
    <w:p w:rsidR="00E35FFD" w:rsidRPr="00E35FFD" w:rsidRDefault="00E91006" w:rsidP="00E35FFD">
      <w:pPr>
        <w:rPr>
          <w:rFonts w:cs="Arial"/>
          <w:sz w:val="22"/>
          <w:u w:val="single"/>
          <w:lang w:eastAsia="es-CO"/>
        </w:rPr>
      </w:pPr>
      <w:r>
        <w:rPr>
          <w:rFonts w:cs="Arial"/>
          <w:sz w:val="22"/>
          <w:u w:val="single"/>
          <w:lang w:eastAsia="es-CO"/>
        </w:rPr>
        <w:t>Retos en las TIC´S del Ministerio de T</w:t>
      </w:r>
      <w:r w:rsidR="00E35FFD" w:rsidRPr="00E35FFD">
        <w:rPr>
          <w:rFonts w:cs="Arial"/>
          <w:sz w:val="22"/>
          <w:u w:val="single"/>
          <w:lang w:eastAsia="es-CO"/>
        </w:rPr>
        <w:t>ransporte</w:t>
      </w:r>
      <w:r w:rsidR="00E35FFD">
        <w:rPr>
          <w:rFonts w:cs="Arial"/>
          <w:sz w:val="22"/>
          <w:u w:val="single"/>
          <w:lang w:eastAsia="es-CO"/>
        </w:rPr>
        <w:t>:</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Articular con el sistema de gestión integrado del Ministerio de Transporte, el sistema de seguridad de la información y las demás directrices generadas por el Departamento Administrativo de la Función Pública.</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Direccionar el grupo de informática como Oficina de Sistemas e integrar los procesos y proyectos de otras dependencias que se encuentran aislados de tecnología y de las funciones asignadas a Secretaria General.</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Posicionar el área de sistemas tal y como lo indica el DAFP como un área estratégica en el proyecto de gobierno digital como una dependencia de tipo jefatura dada la transversalidad de su función, la implicación de sus responsabilidades y soluciones, según lo establecido en el Decreto 415 de 2014.</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Vincular y mantener recurso humano calificado y preparado en las Tic´s</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Incrementar los recursos financieros presupuestados para cada vigencia.</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Hacer más fácil el trabajo de los servidores públicos con la ayuda de las TIC´s el desarrollo de las actividades diarias para el cumplimiento de sus funciones.</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Facilitar la forma de interactuar el ciudadano y la institución con la implementación de contenidos digitales.</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Cumplir con los principios de gobernanza integrada para el desarrollo sostenible de los proyectos TIC´s, integrando a las sedes de operación territoriales y fluviales del Ministerio de Transporte</w:t>
      </w:r>
    </w:p>
    <w:p w:rsidR="00E35FFD" w:rsidRPr="00E35FFD" w:rsidRDefault="00E35FFD" w:rsidP="00442CAC">
      <w:pPr>
        <w:pStyle w:val="Prrafodelista"/>
        <w:numPr>
          <w:ilvl w:val="0"/>
          <w:numId w:val="63"/>
        </w:numPr>
        <w:rPr>
          <w:rFonts w:cs="Arial"/>
          <w:sz w:val="22"/>
          <w:lang w:eastAsia="es-CO"/>
        </w:rPr>
      </w:pPr>
      <w:r w:rsidRPr="00E35FFD">
        <w:rPr>
          <w:rFonts w:cs="Arial"/>
          <w:sz w:val="22"/>
          <w:lang w:eastAsia="es-CO"/>
        </w:rPr>
        <w:t>El pasado 7 de noviembre se realizó la postulación ante el Ministerio de Tecnologías de la Información y Comunicaciones para obtener “Sello de excelencia en Gobierno en Línea” , en la categoría de Gobierno Abierto, que consiste en establecer requisitos de calidad de los conjuntos de datos abiertos y plataformas de participación, que propicien un gobierno transparente, abierto y participativo. El Ministerio de Transporte, postulo los conjuntos de datos relacionados con “Directorio de Inspecciones Fluviales, Directorio de Direcciones Territoriales y Tablas de Avalúos” obteniendo el sello en las “Tablas de Avalúos y Directorio de Inspecciones Fluviales” el pasado 11 de diciembre de 2017.</w:t>
      </w:r>
    </w:p>
    <w:p w:rsidR="00E35FFD" w:rsidRPr="00E35FFD" w:rsidRDefault="00E35FFD" w:rsidP="00E35FFD">
      <w:pPr>
        <w:rPr>
          <w:rFonts w:cs="Arial"/>
          <w:sz w:val="22"/>
          <w:lang w:eastAsia="es-CO"/>
        </w:rPr>
      </w:pPr>
    </w:p>
    <w:p w:rsidR="00E35FFD" w:rsidRPr="00E35FFD" w:rsidRDefault="00E35FFD" w:rsidP="00E35FFD">
      <w:pPr>
        <w:rPr>
          <w:rFonts w:cs="Arial"/>
          <w:sz w:val="22"/>
          <w:lang w:eastAsia="es-CO"/>
        </w:rPr>
      </w:pPr>
      <w:r w:rsidRPr="00E35FFD">
        <w:rPr>
          <w:rFonts w:cs="Arial"/>
          <w:sz w:val="22"/>
          <w:lang w:eastAsia="es-CO"/>
        </w:rPr>
        <w:lastRenderedPageBreak/>
        <w:t>Dichos sellos tiene vigencia hasta el 11 de diciembre de 2018, pero es importante la continua actualización de cada conjunto de datos, en el caso de avalúos las tablas 2018 y sus modificaciones si ocurren. En el caso de inspecciones fluviales, cada vez que haya un cambio de inspector, teléfonos, sedes, entre otros.</w:t>
      </w:r>
    </w:p>
    <w:p w:rsidR="00E35FFD" w:rsidRPr="00E35FFD" w:rsidRDefault="00E35FFD" w:rsidP="00E35FFD">
      <w:pPr>
        <w:rPr>
          <w:rFonts w:cs="Arial"/>
          <w:sz w:val="22"/>
          <w:u w:val="single"/>
          <w:lang w:eastAsia="es-CO"/>
        </w:rPr>
      </w:pPr>
    </w:p>
    <w:p w:rsidR="00E35FFD" w:rsidRPr="00E35FFD" w:rsidRDefault="00E35FFD" w:rsidP="00E35FFD">
      <w:pPr>
        <w:rPr>
          <w:rFonts w:cs="Arial"/>
          <w:sz w:val="22"/>
          <w:lang w:eastAsia="es-CO"/>
        </w:rPr>
      </w:pPr>
      <w:r w:rsidRPr="00E35FFD">
        <w:rPr>
          <w:rFonts w:cs="Arial"/>
          <w:sz w:val="22"/>
          <w:lang w:eastAsia="es-CO"/>
        </w:rPr>
        <w:t xml:space="preserve">El sello de Excelencia de Gobierno en Línea, es un instrumento que permite garantizar las condiciones de calidad necesarias para que el ciudadano acceda de manera confiable a los servicios digitales que ofrece las entidades. De esta manera, el Sello asegura que los ciudadanos cuenten con servicios digitales de muy alta calidad, agiles, seguros, fáciles y efectivos. </w:t>
      </w:r>
    </w:p>
    <w:p w:rsidR="00E35FFD" w:rsidRPr="00E35FFD" w:rsidRDefault="00E35FFD" w:rsidP="00E35FFD">
      <w:pPr>
        <w:rPr>
          <w:rFonts w:cs="Arial"/>
          <w:sz w:val="22"/>
          <w:lang w:eastAsia="es-CO"/>
        </w:rPr>
      </w:pPr>
    </w:p>
    <w:p w:rsidR="000C3469" w:rsidRDefault="00E35FFD" w:rsidP="00E35FFD">
      <w:pPr>
        <w:rPr>
          <w:rFonts w:cs="Arial"/>
          <w:sz w:val="22"/>
          <w:lang w:eastAsia="es-CO"/>
        </w:rPr>
      </w:pPr>
      <w:r w:rsidRPr="00E35FFD">
        <w:rPr>
          <w:rFonts w:cs="Arial"/>
          <w:sz w:val="22"/>
          <w:lang w:eastAsia="es-CO"/>
        </w:rPr>
        <w:t>Para continuar con el trabajo, en las categorías de postulación para obtener sellos de excelencia, se deberá cumplir con una serie de requisitos, organizados en tres niveles: básico, intermedio y avanzado, los cuales se irán certificando en la medida que se cumplan con todos los requisitos del nivel anterior</w:t>
      </w:r>
      <w:r>
        <w:rPr>
          <w:rFonts w:cs="Arial"/>
          <w:sz w:val="22"/>
          <w:lang w:eastAsia="es-CO"/>
        </w:rPr>
        <w:t>.</w:t>
      </w:r>
    </w:p>
    <w:p w:rsidR="000C3469" w:rsidRDefault="000C3469">
      <w:pPr>
        <w:spacing w:after="200" w:line="276" w:lineRule="auto"/>
        <w:jc w:val="left"/>
        <w:rPr>
          <w:rFonts w:cs="Arial"/>
          <w:sz w:val="22"/>
          <w:lang w:eastAsia="es-CO"/>
        </w:rPr>
      </w:pPr>
      <w:r>
        <w:rPr>
          <w:rFonts w:cs="Arial"/>
          <w:sz w:val="22"/>
          <w:lang w:eastAsia="es-CO"/>
        </w:rPr>
        <w:br w:type="page"/>
      </w:r>
    </w:p>
    <w:p w:rsidR="00017325" w:rsidRPr="007E3988" w:rsidRDefault="00D40CF7" w:rsidP="003D44B7">
      <w:pPr>
        <w:pStyle w:val="Ttulo1"/>
      </w:pPr>
      <w:bookmarkStart w:id="158" w:name="_Toc473412384"/>
      <w:bookmarkStart w:id="159" w:name="_Toc473412534"/>
      <w:bookmarkStart w:id="160" w:name="_Toc505003501"/>
      <w:r w:rsidRPr="007E3988">
        <w:lastRenderedPageBreak/>
        <w:t>GESTIÓN CONTROL INTERNO</w:t>
      </w:r>
      <w:bookmarkEnd w:id="158"/>
      <w:bookmarkEnd w:id="159"/>
      <w:bookmarkEnd w:id="160"/>
    </w:p>
    <w:p w:rsidR="007D2995" w:rsidRPr="007E3988" w:rsidRDefault="007D2995" w:rsidP="007D2995">
      <w:pPr>
        <w:rPr>
          <w:rFonts w:cs="Arial"/>
          <w:sz w:val="22"/>
          <w:lang w:eastAsia="es-CO"/>
        </w:rPr>
      </w:pPr>
    </w:p>
    <w:p w:rsidR="007D2995" w:rsidRDefault="007D2995" w:rsidP="00B26A65">
      <w:pPr>
        <w:pStyle w:val="Ttulo2"/>
        <w:numPr>
          <w:ilvl w:val="1"/>
          <w:numId w:val="87"/>
        </w:numPr>
      </w:pPr>
      <w:bookmarkStart w:id="161" w:name="_Toc505003502"/>
      <w:r w:rsidRPr="00EA6BEB">
        <w:t>Control Interno</w:t>
      </w:r>
      <w:bookmarkEnd w:id="161"/>
    </w:p>
    <w:p w:rsidR="00017325" w:rsidRPr="007E3988" w:rsidRDefault="00017325" w:rsidP="00017325">
      <w:pPr>
        <w:rPr>
          <w:rFonts w:cs="Arial"/>
          <w:sz w:val="22"/>
          <w:lang w:eastAsia="es-CO"/>
        </w:rPr>
      </w:pPr>
    </w:p>
    <w:p w:rsidR="00E35FFD" w:rsidRPr="00E35FFD" w:rsidRDefault="00E35FFD" w:rsidP="00E35FFD">
      <w:pPr>
        <w:rPr>
          <w:rFonts w:cs="Arial"/>
          <w:sz w:val="22"/>
          <w:lang w:eastAsia="es-CO"/>
        </w:rPr>
      </w:pPr>
      <w:r w:rsidRPr="00E35FFD">
        <w:rPr>
          <w:rFonts w:cs="Arial"/>
          <w:sz w:val="22"/>
          <w:lang w:eastAsia="es-CO"/>
        </w:rPr>
        <w:t>La Oficina de Control Interno para la vigencia 2017, tenía dentro del plan de gestión de la entidad dos (2) Proyectos:</w:t>
      </w:r>
    </w:p>
    <w:p w:rsidR="00E35FFD" w:rsidRDefault="00E35FFD" w:rsidP="00E35FFD">
      <w:pPr>
        <w:rPr>
          <w:rFonts w:cs="Arial"/>
          <w:sz w:val="22"/>
          <w:lang w:eastAsia="es-CO"/>
        </w:rPr>
      </w:pPr>
    </w:p>
    <w:p w:rsidR="00E35FFD" w:rsidRPr="00E35FFD" w:rsidRDefault="00E35FFD" w:rsidP="00E35FFD">
      <w:pPr>
        <w:rPr>
          <w:rFonts w:cs="Arial"/>
          <w:sz w:val="22"/>
          <w:lang w:eastAsia="es-CO"/>
        </w:rPr>
      </w:pPr>
      <w:r w:rsidRPr="00E35FFD">
        <w:rPr>
          <w:rFonts w:cs="Arial"/>
          <w:sz w:val="22"/>
          <w:u w:val="single"/>
          <w:lang w:eastAsia="es-CO"/>
        </w:rPr>
        <w:t>Auditorías Internas de Control Interno por proceso</w:t>
      </w:r>
      <w:r w:rsidRPr="00E35FFD">
        <w:rPr>
          <w:rFonts w:cs="Arial"/>
          <w:sz w:val="22"/>
          <w:lang w:eastAsia="es-CO"/>
        </w:rPr>
        <w:t>:</w:t>
      </w:r>
    </w:p>
    <w:p w:rsidR="00E35FFD" w:rsidRPr="00E35FFD" w:rsidRDefault="00E35FFD" w:rsidP="00E35FFD">
      <w:pPr>
        <w:rPr>
          <w:rFonts w:cs="Arial"/>
          <w:sz w:val="22"/>
          <w:lang w:eastAsia="es-CO"/>
        </w:rPr>
      </w:pPr>
      <w:r w:rsidRPr="00E35FFD">
        <w:rPr>
          <w:rFonts w:cs="Arial"/>
          <w:sz w:val="22"/>
          <w:lang w:eastAsia="es-CO"/>
        </w:rPr>
        <w:t>La Oficina de  Control Interno desarrolla anualmente auditorías, de acuerdo al proceso debidamente documentado en el Sistema de Gestión de Calidad  y del cual se formula el programa anual de auditorías, el cual es elaborado para toda la vigencia y presentando los respectivos avances por trimestres, este programa se elabora de tal manera que por muestreo se de una cobertura a los 19 procesos de la entidad, algunos de estos procesos debido a su complejidad son auditados más de una vez; tal es el caso de las Autorizaciones en tránsito y transporte y la contratación.</w:t>
      </w:r>
    </w:p>
    <w:p w:rsidR="00E35FFD" w:rsidRPr="00E35FFD" w:rsidRDefault="00E35FFD" w:rsidP="00E35FFD">
      <w:pPr>
        <w:rPr>
          <w:rFonts w:cs="Arial"/>
          <w:sz w:val="22"/>
          <w:lang w:eastAsia="es-CO"/>
        </w:rPr>
      </w:pPr>
    </w:p>
    <w:p w:rsidR="00E35FFD" w:rsidRPr="00E35FFD" w:rsidRDefault="00E35FFD" w:rsidP="00E35FFD">
      <w:pPr>
        <w:rPr>
          <w:rFonts w:cs="Arial"/>
          <w:sz w:val="22"/>
          <w:lang w:eastAsia="es-CO"/>
        </w:rPr>
      </w:pPr>
      <w:r w:rsidRPr="00E35FFD">
        <w:rPr>
          <w:rFonts w:cs="Arial"/>
          <w:sz w:val="22"/>
          <w:lang w:eastAsia="es-CO"/>
        </w:rPr>
        <w:t xml:space="preserve">Una vez se efectúa la correspondiente auditoría y se emite el informe final de auditoría, se le exige al responsable del proceso auditado la presentación de un plan de mejoramiento, el cual es monitoreado periódicamente para determinar el avance y cumplimiento de las acciones de mejora propuestas. Las dependencias auditadas tienen plazo de 10 días para presentar el plan de mejoramiento, de acuerdo con nuestro procedimiento y  a instrucciones dadas en memorando circular No. 20163000041133 del 09/03/2016 por el despacho del Ministro. </w:t>
      </w:r>
    </w:p>
    <w:p w:rsidR="00E35FFD" w:rsidRPr="00E35FFD" w:rsidRDefault="00E35FFD" w:rsidP="00E35FFD">
      <w:pPr>
        <w:spacing w:line="240" w:lineRule="auto"/>
        <w:rPr>
          <w:rFonts w:cs="Arial"/>
          <w:sz w:val="22"/>
          <w:lang w:eastAsia="es-CO"/>
        </w:rPr>
      </w:pPr>
    </w:p>
    <w:p w:rsidR="00E35FFD" w:rsidRPr="00E35FFD" w:rsidRDefault="00E35FFD" w:rsidP="00E35FFD">
      <w:pPr>
        <w:contextualSpacing/>
        <w:rPr>
          <w:rFonts w:cs="Arial"/>
          <w:sz w:val="22"/>
          <w:lang w:eastAsia="es-CO"/>
        </w:rPr>
      </w:pPr>
      <w:r w:rsidRPr="00E35FFD">
        <w:rPr>
          <w:rFonts w:cs="Arial"/>
          <w:sz w:val="22"/>
          <w:lang w:eastAsia="es-CO"/>
        </w:rPr>
        <w:t>El Plan de Mejoramiento para estas auditorías es registrado en un archivo Excel, en el cual se registran los datos básicos de la auditoría, las acciones de mejora, fechas y responsables y periódicamente se registra el porcentaje de avan</w:t>
      </w:r>
      <w:r w:rsidR="00EA6BEB">
        <w:rPr>
          <w:rFonts w:cs="Arial"/>
          <w:sz w:val="22"/>
          <w:lang w:eastAsia="es-CO"/>
        </w:rPr>
        <w:t>ce de cada una de las acciones.</w:t>
      </w:r>
    </w:p>
    <w:p w:rsidR="00E35FFD" w:rsidRPr="00E35FFD" w:rsidRDefault="00E35FFD" w:rsidP="00E35FFD">
      <w:pPr>
        <w:contextualSpacing/>
        <w:rPr>
          <w:rFonts w:cs="Arial"/>
          <w:sz w:val="22"/>
          <w:lang w:eastAsia="es-CO"/>
        </w:rPr>
      </w:pPr>
      <w:r w:rsidRPr="00E35FFD">
        <w:rPr>
          <w:rFonts w:cs="Arial"/>
          <w:sz w:val="22"/>
          <w:lang w:eastAsia="es-CO"/>
        </w:rPr>
        <w:t xml:space="preserve"> </w:t>
      </w:r>
    </w:p>
    <w:p w:rsidR="00E35FFD" w:rsidRDefault="00E35FFD" w:rsidP="00E35FFD">
      <w:pPr>
        <w:contextualSpacing/>
        <w:rPr>
          <w:rFonts w:cs="Arial"/>
          <w:sz w:val="22"/>
          <w:lang w:eastAsia="es-CO"/>
        </w:rPr>
      </w:pPr>
      <w:r w:rsidRPr="00E35FFD">
        <w:rPr>
          <w:rFonts w:cs="Arial"/>
          <w:sz w:val="22"/>
          <w:lang w:eastAsia="es-CO"/>
        </w:rPr>
        <w:t>Este proyecto tenía como meta elaborar 33 auditorías durante la vigencia, sin embargo, se elaboraron 34 auditorias</w:t>
      </w:r>
    </w:p>
    <w:p w:rsidR="00EA6BEB" w:rsidRPr="00E35FFD" w:rsidRDefault="00EA6BEB" w:rsidP="00E35FFD">
      <w:pPr>
        <w:contextualSpacing/>
        <w:rPr>
          <w:rFonts w:cs="Arial"/>
          <w:sz w:val="22"/>
          <w:lang w:eastAsia="es-CO"/>
        </w:rPr>
      </w:pPr>
    </w:p>
    <w:p w:rsidR="00E35FFD" w:rsidRDefault="00E35FFD" w:rsidP="00E35FFD">
      <w:pPr>
        <w:contextualSpacing/>
        <w:rPr>
          <w:rFonts w:cs="Arial"/>
          <w:sz w:val="22"/>
          <w:lang w:eastAsia="es-CO"/>
        </w:rPr>
      </w:pPr>
      <w:r w:rsidRPr="00E35FFD">
        <w:rPr>
          <w:rFonts w:cs="Arial"/>
          <w:sz w:val="22"/>
          <w:lang w:eastAsia="es-CO"/>
        </w:rPr>
        <w:lastRenderedPageBreak/>
        <w:t>En el  2017 se realizaron las auditorias conforme al programa anual de auditorías, además se implementó el software denominado SISTEMAS DE INFORMACIÓN DE AUDITORÍAS Y ASESORÍAS DE CONTRON INTERNO (SIACI), el cual permite automatizar los aspectos relevantes del proceso de auditoría.</w:t>
      </w:r>
    </w:p>
    <w:p w:rsidR="00E35FFD" w:rsidRPr="00E35FFD" w:rsidRDefault="00E35FFD" w:rsidP="00E35FFD">
      <w:pPr>
        <w:contextualSpacing/>
        <w:rPr>
          <w:rFonts w:cs="Arial"/>
          <w:sz w:val="22"/>
          <w:lang w:eastAsia="es-CO"/>
        </w:rPr>
      </w:pPr>
    </w:p>
    <w:p w:rsidR="00E35FFD" w:rsidRPr="00E35FFD" w:rsidRDefault="00E35FFD" w:rsidP="00E35FFD">
      <w:pPr>
        <w:contextualSpacing/>
        <w:rPr>
          <w:rFonts w:cs="Arial"/>
          <w:sz w:val="22"/>
          <w:lang w:eastAsia="es-CO"/>
        </w:rPr>
      </w:pPr>
      <w:r w:rsidRPr="00E35FFD">
        <w:rPr>
          <w:rFonts w:cs="Arial"/>
          <w:sz w:val="22"/>
          <w:lang w:eastAsia="es-CO"/>
        </w:rPr>
        <w:t>Para el 2018, conforme al Acuerdo 565 de 2016 de la CNSC, efectuar el Informe de Gestión por Dependencias, de manera objetiva que sirva de base para la calificación de las dependencias dentro del marco de la Evaluación del Desempeño de los funcionarios de la Entidad. Igualmente capacitar al 100% de los funcionarios en el aplicativo (SIACI).</w:t>
      </w:r>
    </w:p>
    <w:p w:rsidR="00E35FFD" w:rsidRPr="00E35FFD" w:rsidRDefault="00E35FFD" w:rsidP="00E35FFD">
      <w:pPr>
        <w:contextualSpacing/>
        <w:rPr>
          <w:rFonts w:cs="Arial"/>
          <w:sz w:val="22"/>
          <w:lang w:eastAsia="es-CO"/>
        </w:rPr>
      </w:pPr>
      <w:r w:rsidRPr="00E35FFD">
        <w:rPr>
          <w:rFonts w:cs="Arial"/>
          <w:sz w:val="22"/>
          <w:lang w:eastAsia="es-CO"/>
        </w:rPr>
        <w:t>No obstante lo anterior y dadas las limitaciones relacionadas, el logro alcanzado para la vigencia en este proyecto fue del 100%, lo cual se considera satisfactorio si se tiene en cuenta que se efectuó una auditoria adicional, al número de auditorías que se tenían planeadas.</w:t>
      </w:r>
    </w:p>
    <w:p w:rsidR="00E35FFD" w:rsidRPr="00E35FFD" w:rsidRDefault="00E35FFD" w:rsidP="00E35FFD">
      <w:pPr>
        <w:contextualSpacing/>
        <w:rPr>
          <w:rFonts w:cs="Arial"/>
          <w:sz w:val="22"/>
          <w:lang w:eastAsia="es-CO"/>
        </w:rPr>
      </w:pPr>
    </w:p>
    <w:p w:rsidR="00E35FFD" w:rsidRPr="00E35FFD" w:rsidRDefault="00E35FFD" w:rsidP="00E35FFD">
      <w:pPr>
        <w:contextualSpacing/>
        <w:rPr>
          <w:rFonts w:cs="Arial"/>
          <w:sz w:val="22"/>
          <w:u w:val="single"/>
          <w:lang w:eastAsia="es-CO"/>
        </w:rPr>
      </w:pPr>
      <w:r w:rsidRPr="00E35FFD">
        <w:rPr>
          <w:rFonts w:cs="Arial"/>
          <w:sz w:val="22"/>
          <w:u w:val="single"/>
          <w:lang w:eastAsia="es-CO"/>
        </w:rPr>
        <w:t xml:space="preserve">Asesoría y Acompañamiento en la gestión institucional. </w:t>
      </w:r>
    </w:p>
    <w:p w:rsidR="00E35FFD" w:rsidRPr="00E35FFD" w:rsidRDefault="00E35FFD" w:rsidP="00E35FFD">
      <w:pPr>
        <w:contextualSpacing/>
        <w:rPr>
          <w:rFonts w:cs="Arial"/>
          <w:sz w:val="22"/>
          <w:lang w:eastAsia="es-CO"/>
        </w:rPr>
      </w:pPr>
      <w:r w:rsidRPr="00E35FFD">
        <w:rPr>
          <w:rFonts w:cs="Arial"/>
          <w:sz w:val="22"/>
          <w:lang w:eastAsia="es-CO"/>
        </w:rPr>
        <w:t>La meta para este proyecto a ejecutar en la vigencia era de la prestación de asesorías al 100% de las solicitudes presentadas. Esta meta se cumplió en su totalidad teniendo en cuenta que se atendió el 100% de las solicitudes de Asesoría y Acompañamiento solicitadas.</w:t>
      </w:r>
    </w:p>
    <w:p w:rsidR="00E35FFD" w:rsidRPr="00E35FFD" w:rsidRDefault="00E35FFD" w:rsidP="00E35FFD">
      <w:pPr>
        <w:contextualSpacing/>
        <w:rPr>
          <w:rFonts w:cs="Arial"/>
          <w:sz w:val="22"/>
          <w:lang w:eastAsia="es-CO"/>
        </w:rPr>
      </w:pPr>
      <w:r w:rsidRPr="00E35FFD">
        <w:rPr>
          <w:rFonts w:cs="Arial"/>
          <w:sz w:val="22"/>
          <w:lang w:eastAsia="es-CO"/>
        </w:rPr>
        <w:t>Adicionalmente y dentro de este mismo proyecto se elaboraron y se presentaron de manera oportuna todos los informes de Ley que con fundamento en las normas (Leyes, Decretos, circulares, entre otros), nos obliga a realizar seguimiento de los informes de ley en los cuales se tiene responsabilidades, y mediante el análisis, evaluación, consolidación y elaboración, remite los informes de ley requeridos por los entes de Control, el Departamento Administrativo de la Presidencia de la República, el Departamento Administrativo de la Función Pública,  el Despacho del Señor Ministro, la Dirección de Derechos de Autor y otras organizaciones a las cuales se deban rendir informes.</w:t>
      </w:r>
    </w:p>
    <w:p w:rsidR="00E35FFD" w:rsidRPr="00E35FFD" w:rsidRDefault="00E35FFD" w:rsidP="00E35FFD">
      <w:pPr>
        <w:contextualSpacing/>
        <w:rPr>
          <w:rFonts w:cs="Arial"/>
          <w:sz w:val="22"/>
          <w:lang w:eastAsia="es-CO"/>
        </w:rPr>
      </w:pPr>
    </w:p>
    <w:p w:rsidR="00E35FFD" w:rsidRPr="00E35FFD" w:rsidRDefault="00E35FFD" w:rsidP="00E35FFD">
      <w:pPr>
        <w:contextualSpacing/>
        <w:rPr>
          <w:rFonts w:cs="Arial"/>
          <w:sz w:val="22"/>
          <w:lang w:eastAsia="es-CO"/>
        </w:rPr>
      </w:pPr>
      <w:r w:rsidRPr="00E35FFD">
        <w:rPr>
          <w:rFonts w:cs="Arial"/>
          <w:sz w:val="22"/>
          <w:lang w:eastAsia="es-CO"/>
        </w:rPr>
        <w:t xml:space="preserve">Durante la vigencia 2017 se remitieron todos los informes de acuerdo a la responsabilidad y fechas establecidas en las normas por lo cual, el indicador se cumplió satisfactoriamente, donde se hizo necesario presentar informes requeridos por ley en temas como Informe pormenorizado del sistema de control interno - Estatuto anticorrupción, seguimiento </w:t>
      </w:r>
      <w:r w:rsidRPr="00E35FFD">
        <w:rPr>
          <w:rFonts w:cs="Arial"/>
          <w:sz w:val="22"/>
          <w:lang w:eastAsia="es-CO"/>
        </w:rPr>
        <w:lastRenderedPageBreak/>
        <w:t>ejecución del plan de mejoramiento institucional a través del sistema Sireci de la CGR, Seguimiento medidas de austeridad en el gasto público, peticiones quejas y reclamos - estatuto anticorrupción, seguimiento al plan de mejoramiento del Archivo General de la Nación,  plan mejoramiento, seguimiento plan anticorrupción y atención al ciudadano y seguimiento al sistema de información E-Kogui  entre otros, los cuales se atendieron oportunamente.</w:t>
      </w:r>
    </w:p>
    <w:p w:rsidR="00E35FFD" w:rsidRPr="00E35FFD" w:rsidRDefault="00E35FFD" w:rsidP="00E35FFD">
      <w:pPr>
        <w:contextualSpacing/>
        <w:rPr>
          <w:rFonts w:cs="Arial"/>
          <w:sz w:val="22"/>
          <w:lang w:eastAsia="es-CO"/>
        </w:rPr>
      </w:pPr>
      <w:r w:rsidRPr="00E35FFD">
        <w:rPr>
          <w:rFonts w:cs="Arial"/>
          <w:sz w:val="22"/>
          <w:lang w:eastAsia="es-CO"/>
        </w:rPr>
        <w:t>Dentro de los informes de Ley mencionados anteriormente, se destaca el seguimiento a la ejecución del plan de mejoramiento institucional a través del sistema Sireci de la CGR, para el cumplimiento de esta actividad, la Oficina de Control Interno, efectuó seguimiento y presto asesoría en la ejecución de las acciones de mejora que deben desarrollar las diferentes dependencias de la entidad.</w:t>
      </w:r>
    </w:p>
    <w:p w:rsidR="00E35FFD" w:rsidRPr="00E35FFD" w:rsidRDefault="00E35FFD" w:rsidP="00E35FFD">
      <w:pPr>
        <w:contextualSpacing/>
        <w:rPr>
          <w:rFonts w:cs="Arial"/>
          <w:sz w:val="22"/>
          <w:lang w:eastAsia="es-CO"/>
        </w:rPr>
      </w:pPr>
    </w:p>
    <w:p w:rsidR="00E35FFD" w:rsidRPr="00E35FFD" w:rsidRDefault="00E35FFD" w:rsidP="00E35FFD">
      <w:pPr>
        <w:contextualSpacing/>
        <w:rPr>
          <w:rFonts w:cs="Arial"/>
          <w:sz w:val="22"/>
          <w:u w:val="single"/>
          <w:lang w:eastAsia="es-CO"/>
        </w:rPr>
      </w:pPr>
      <w:r w:rsidRPr="00E35FFD">
        <w:rPr>
          <w:rFonts w:cs="Arial"/>
          <w:sz w:val="22"/>
          <w:u w:val="single"/>
          <w:lang w:eastAsia="es-CO"/>
        </w:rPr>
        <w:t>Plan de mejoramiento</w:t>
      </w:r>
      <w:r>
        <w:rPr>
          <w:rFonts w:cs="Arial"/>
          <w:sz w:val="22"/>
          <w:u w:val="single"/>
          <w:lang w:eastAsia="es-CO"/>
        </w:rPr>
        <w:t>:</w:t>
      </w:r>
    </w:p>
    <w:p w:rsidR="00E35FFD" w:rsidRPr="00E35FFD" w:rsidRDefault="00E35FFD" w:rsidP="00E35FFD">
      <w:pPr>
        <w:contextualSpacing/>
        <w:rPr>
          <w:rFonts w:cs="Arial"/>
          <w:sz w:val="22"/>
          <w:lang w:eastAsia="es-CO"/>
        </w:rPr>
      </w:pPr>
      <w:r w:rsidRPr="00E35FFD">
        <w:rPr>
          <w:rFonts w:cs="Arial"/>
          <w:sz w:val="22"/>
          <w:lang w:eastAsia="es-CO"/>
        </w:rPr>
        <w:t>La gestión adelantada por esta Oficina, ha estado enfocada a monitorear permanentemente la ejecución del plan de mejoramiento, realizando seguimientos a cada una de las dependencias que tienen bajo su responsabilidad hallazgos, a través del acompañamiento personalizado por parte de funcionarios de esta área y al envió mensual de reportes al Cuerpo Directivo, informándoles sobre todos los hallazgos vencidos y próximos a vencerse, a fin de que se tomen las acciones a que haya lugar para superarlos y así mantener un nivel de cumplimiento óptimo del plan.</w:t>
      </w:r>
    </w:p>
    <w:p w:rsidR="00E35FFD" w:rsidRPr="00E35FFD" w:rsidRDefault="00E35FFD" w:rsidP="00E35FFD">
      <w:pPr>
        <w:contextualSpacing/>
        <w:rPr>
          <w:rFonts w:cs="Arial"/>
          <w:sz w:val="22"/>
          <w:lang w:eastAsia="es-CO"/>
        </w:rPr>
      </w:pPr>
    </w:p>
    <w:p w:rsidR="00E55604" w:rsidRPr="007E3988" w:rsidRDefault="00E35FFD" w:rsidP="00E35FFD">
      <w:pPr>
        <w:contextualSpacing/>
        <w:rPr>
          <w:rFonts w:cs="Arial"/>
          <w:sz w:val="22"/>
          <w:lang w:eastAsia="es-CO"/>
        </w:rPr>
      </w:pPr>
      <w:r w:rsidRPr="00E35FFD">
        <w:rPr>
          <w:rFonts w:cs="Arial"/>
          <w:sz w:val="22"/>
          <w:lang w:eastAsia="es-CO"/>
        </w:rPr>
        <w:t>Adicionalmente y cuando el caso lo amerita, se ha tratado el tema del plan de mejoramiento en el Comité de Coordinación del Sistema de Control Interno y se ha acompañado a las áreas que lo han solicitado a realizar ejercicios de autoevaluación del cumplimiento de los planes, con el fin de que se generen acciones concretas para que se dé cumplimiento a dicho plan</w:t>
      </w:r>
      <w:r>
        <w:rPr>
          <w:rFonts w:cs="Arial"/>
          <w:sz w:val="22"/>
          <w:lang w:eastAsia="es-CO"/>
        </w:rPr>
        <w:t>.</w:t>
      </w:r>
    </w:p>
    <w:p w:rsidR="00E55604" w:rsidRPr="007E3988" w:rsidRDefault="00E55604" w:rsidP="00664919">
      <w:pPr>
        <w:spacing w:line="240" w:lineRule="auto"/>
        <w:rPr>
          <w:rFonts w:cs="Arial"/>
          <w:sz w:val="22"/>
          <w:lang w:eastAsia="es-CO"/>
        </w:rPr>
      </w:pPr>
    </w:p>
    <w:p w:rsidR="00664919" w:rsidRDefault="00664919" w:rsidP="0028482B">
      <w:pPr>
        <w:pStyle w:val="Ttulo2"/>
        <w:numPr>
          <w:ilvl w:val="1"/>
          <w:numId w:val="87"/>
        </w:numPr>
      </w:pPr>
      <w:bookmarkStart w:id="162" w:name="_Toc505003503"/>
      <w:r w:rsidRPr="007E3988">
        <w:t>Control Interno Disciplinario</w:t>
      </w:r>
      <w:bookmarkEnd w:id="162"/>
    </w:p>
    <w:p w:rsidR="00664919" w:rsidRPr="007E3988" w:rsidRDefault="00664919" w:rsidP="00664919">
      <w:pPr>
        <w:spacing w:line="240" w:lineRule="auto"/>
        <w:rPr>
          <w:rFonts w:cs="Arial"/>
          <w:sz w:val="22"/>
          <w:lang w:eastAsia="es-CO"/>
        </w:rPr>
      </w:pPr>
    </w:p>
    <w:p w:rsidR="00E10139" w:rsidRPr="00E10139" w:rsidRDefault="00E10139" w:rsidP="00E10139">
      <w:pPr>
        <w:contextualSpacing/>
        <w:rPr>
          <w:rFonts w:cs="Arial"/>
          <w:sz w:val="22"/>
          <w:lang w:val="es-CO" w:eastAsia="es-CO"/>
        </w:rPr>
      </w:pPr>
      <w:r w:rsidRPr="00E10139">
        <w:rPr>
          <w:rFonts w:cs="Arial"/>
          <w:sz w:val="22"/>
          <w:lang w:val="es-CO" w:eastAsia="es-CO"/>
        </w:rPr>
        <w:t xml:space="preserve">Conforme al Plan de Gestión, el Grupo Control Disciplinario durante la vigencia 2017, adelantó las siguientes gestiones: </w:t>
      </w:r>
    </w:p>
    <w:p w:rsidR="00E10139" w:rsidRPr="00E10139" w:rsidRDefault="00E10139" w:rsidP="00442CAC">
      <w:pPr>
        <w:pStyle w:val="Prrafodelista"/>
        <w:numPr>
          <w:ilvl w:val="0"/>
          <w:numId w:val="85"/>
        </w:numPr>
        <w:ind w:left="360"/>
        <w:rPr>
          <w:rFonts w:cs="Arial"/>
          <w:sz w:val="22"/>
          <w:lang w:eastAsia="es-CO"/>
        </w:rPr>
      </w:pPr>
      <w:r w:rsidRPr="00E10139">
        <w:rPr>
          <w:rFonts w:cs="Arial"/>
          <w:sz w:val="22"/>
          <w:lang w:eastAsia="es-CO"/>
        </w:rPr>
        <w:t xml:space="preserve">Se ejecutaron los planes de mejora frente a los hallazgos encontrados en la auditoría vigencia 2016, realizada por la Oficina de Control Interno, fortaleciendo los controles de </w:t>
      </w:r>
      <w:r w:rsidRPr="00E10139">
        <w:rPr>
          <w:rFonts w:cs="Arial"/>
          <w:sz w:val="22"/>
          <w:lang w:eastAsia="es-CO"/>
        </w:rPr>
        <w:lastRenderedPageBreak/>
        <w:t xml:space="preserve">riesgos de los procesos, garantizando la seguridad de los expedientes, los cuales reposan en un archivo con llave, respetando las normas de Gestión Documental y la reserva procesal. </w:t>
      </w:r>
    </w:p>
    <w:p w:rsidR="00E10139" w:rsidRPr="00E10139" w:rsidRDefault="00E10139" w:rsidP="00442CAC">
      <w:pPr>
        <w:pStyle w:val="Prrafodelista"/>
        <w:numPr>
          <w:ilvl w:val="0"/>
          <w:numId w:val="85"/>
        </w:numPr>
        <w:ind w:left="360"/>
        <w:rPr>
          <w:rFonts w:cs="Arial"/>
          <w:sz w:val="22"/>
          <w:lang w:eastAsia="es-CO"/>
        </w:rPr>
      </w:pPr>
      <w:r w:rsidRPr="00E10139">
        <w:rPr>
          <w:rFonts w:cs="Arial"/>
          <w:sz w:val="22"/>
          <w:lang w:eastAsia="es-CO"/>
        </w:rPr>
        <w:t xml:space="preserve">Se definió un lugar para la realización de las audiencias, garantizando así la reserva que este tipo de diligencias conlleva. </w:t>
      </w:r>
    </w:p>
    <w:p w:rsidR="00E10139" w:rsidRPr="00E10139" w:rsidRDefault="00E10139" w:rsidP="00442CAC">
      <w:pPr>
        <w:pStyle w:val="Prrafodelista"/>
        <w:numPr>
          <w:ilvl w:val="0"/>
          <w:numId w:val="85"/>
        </w:numPr>
        <w:ind w:left="360"/>
        <w:rPr>
          <w:rFonts w:cs="Arial"/>
          <w:sz w:val="22"/>
          <w:lang w:eastAsia="es-CO"/>
        </w:rPr>
      </w:pPr>
      <w:r w:rsidRPr="00E10139">
        <w:rPr>
          <w:rFonts w:cs="Arial"/>
          <w:sz w:val="22"/>
          <w:lang w:eastAsia="es-CO"/>
        </w:rPr>
        <w:t xml:space="preserve">Conforme al Plan de Acción Institucional, se incrementaron las gestiones de promoción y divulgación de las acciones preventivas, a fin de contrarrestar aquellas conductas constitutivas de faltas disciplinarias, realizando las siguientes actividades: </w:t>
      </w:r>
    </w:p>
    <w:p w:rsidR="00E10139" w:rsidRPr="00E10139" w:rsidRDefault="00E10139" w:rsidP="00E10139">
      <w:pPr>
        <w:pStyle w:val="Prrafodelista"/>
        <w:ind w:left="1069" w:hanging="360"/>
        <w:rPr>
          <w:rFonts w:cs="Arial"/>
          <w:sz w:val="22"/>
          <w:lang w:eastAsia="es-CO"/>
        </w:rPr>
      </w:pPr>
      <w:r w:rsidRPr="00E10139">
        <w:rPr>
          <w:rFonts w:cs="Arial"/>
          <w:sz w:val="22"/>
          <w:lang w:eastAsia="es-CO"/>
        </w:rPr>
        <w:t>  Capacitación: Actualización del curso virtual del Código Disciplinario</w:t>
      </w:r>
      <w:r w:rsidRPr="00E10139">
        <w:rPr>
          <w:rFonts w:cs="Arial"/>
          <w:sz w:val="22"/>
        </w:rPr>
        <w:t xml:space="preserve"> </w:t>
      </w:r>
      <w:r w:rsidRPr="00E10139">
        <w:rPr>
          <w:rFonts w:cs="Arial"/>
          <w:sz w:val="22"/>
          <w:lang w:eastAsia="es-CO"/>
        </w:rPr>
        <w:t xml:space="preserve">Único - Ley 734 de 2002, en la página web del Ministerio de Transporte. </w:t>
      </w:r>
    </w:p>
    <w:p w:rsidR="00E10139" w:rsidRPr="00E10139" w:rsidRDefault="00E10139" w:rsidP="00E10139">
      <w:pPr>
        <w:pStyle w:val="Prrafodelista"/>
        <w:ind w:left="1069" w:hanging="360"/>
        <w:rPr>
          <w:rFonts w:cs="Arial"/>
          <w:sz w:val="22"/>
          <w:lang w:eastAsia="es-CO"/>
        </w:rPr>
      </w:pPr>
      <w:r w:rsidRPr="00E10139">
        <w:rPr>
          <w:rFonts w:cs="Arial"/>
          <w:sz w:val="22"/>
          <w:lang w:eastAsia="es-CO"/>
        </w:rPr>
        <w:t xml:space="preserve">  Campañas: Tres (3) CIRCULARES informativas y preventivas, dirigidas a todos los funcionarios de planta central, Direcciones Territoriales e Inspecciones Fluviales haciendo énfasis en la lucha contra la corrupción. </w:t>
      </w:r>
    </w:p>
    <w:p w:rsidR="00E10139" w:rsidRPr="00E10139" w:rsidRDefault="00E10139" w:rsidP="00E10139">
      <w:pPr>
        <w:pStyle w:val="Prrafodelista"/>
        <w:ind w:left="1069" w:hanging="360"/>
        <w:rPr>
          <w:rFonts w:cs="Arial"/>
          <w:sz w:val="22"/>
          <w:lang w:eastAsia="es-CO"/>
        </w:rPr>
      </w:pPr>
      <w:r w:rsidRPr="00E10139">
        <w:rPr>
          <w:rFonts w:cs="Arial"/>
          <w:sz w:val="22"/>
          <w:lang w:eastAsia="es-CO"/>
        </w:rPr>
        <w:t xml:space="preserve">  Dos (2) DIAPOSITIVAS dirigidas a todos los funcionarios de planta central, Direcciones Territoriales e Inspecciones Fluviales enfatizando igualmente la lucha anticorrupción. </w:t>
      </w:r>
    </w:p>
    <w:p w:rsidR="00E10139" w:rsidRPr="00E10139" w:rsidRDefault="00E10139" w:rsidP="00E10139">
      <w:pPr>
        <w:pStyle w:val="Prrafodelista"/>
        <w:ind w:left="1069" w:hanging="360"/>
        <w:rPr>
          <w:rFonts w:cs="Arial"/>
          <w:sz w:val="22"/>
          <w:lang w:eastAsia="es-CO"/>
        </w:rPr>
      </w:pPr>
      <w:r w:rsidRPr="00E10139">
        <w:rPr>
          <w:rFonts w:cs="Arial"/>
          <w:sz w:val="22"/>
          <w:lang w:eastAsia="es-CO"/>
        </w:rPr>
        <w:t>  Conforme al Plan de Capacitación Institucional, se realizó en tres (3) jornadas el SEMINARIO ÉTICA DEL SERVIDOR PÚBLICO, coordinado por el Grupo Control Disciplinario Interno de la Secretaría General.</w:t>
      </w:r>
    </w:p>
    <w:p w:rsidR="00E10139" w:rsidRPr="00E10139" w:rsidRDefault="00E10139" w:rsidP="00E10139">
      <w:pPr>
        <w:pStyle w:val="Prrafodelista"/>
        <w:ind w:left="1440" w:hanging="360"/>
        <w:rPr>
          <w:rFonts w:cs="Arial"/>
          <w:sz w:val="22"/>
          <w:lang w:eastAsia="es-CO"/>
        </w:rPr>
      </w:pPr>
    </w:p>
    <w:p w:rsidR="00E10139" w:rsidRPr="00E10139" w:rsidRDefault="00E10139" w:rsidP="00E10139">
      <w:pPr>
        <w:contextualSpacing/>
        <w:rPr>
          <w:rFonts w:cs="Arial"/>
          <w:sz w:val="22"/>
          <w:lang w:val="es-CO" w:eastAsia="es-CO"/>
        </w:rPr>
      </w:pPr>
      <w:r>
        <w:rPr>
          <w:rFonts w:cs="Arial"/>
          <w:b/>
          <w:sz w:val="22"/>
          <w:lang w:val="es-CO" w:eastAsia="es-CO"/>
        </w:rPr>
        <w:t>Retos 2018:</w:t>
      </w:r>
    </w:p>
    <w:p w:rsidR="00E10139" w:rsidRPr="00E10139" w:rsidRDefault="00E10139" w:rsidP="00442CAC">
      <w:pPr>
        <w:pStyle w:val="Prrafodelista"/>
        <w:numPr>
          <w:ilvl w:val="0"/>
          <w:numId w:val="86"/>
        </w:numPr>
        <w:rPr>
          <w:rFonts w:cs="Arial"/>
          <w:sz w:val="22"/>
          <w:lang w:eastAsia="es-CO"/>
        </w:rPr>
      </w:pPr>
      <w:r w:rsidRPr="00E10139">
        <w:rPr>
          <w:rFonts w:cs="Arial"/>
          <w:sz w:val="22"/>
          <w:lang w:eastAsia="es-CO"/>
        </w:rPr>
        <w:t>Dar estricto cumplimiento a los términos procesales en materia disciplinaria.</w:t>
      </w:r>
    </w:p>
    <w:p w:rsidR="00E10139" w:rsidRPr="00E10139" w:rsidRDefault="00E10139" w:rsidP="00442CAC">
      <w:pPr>
        <w:pStyle w:val="Prrafodelista"/>
        <w:numPr>
          <w:ilvl w:val="0"/>
          <w:numId w:val="86"/>
        </w:numPr>
        <w:rPr>
          <w:rFonts w:cs="Arial"/>
          <w:sz w:val="22"/>
          <w:lang w:eastAsia="es-CO"/>
        </w:rPr>
      </w:pPr>
      <w:r w:rsidRPr="00E10139">
        <w:rPr>
          <w:rFonts w:cs="Arial"/>
          <w:sz w:val="22"/>
          <w:lang w:eastAsia="es-CO"/>
        </w:rPr>
        <w:t>Ofrecer elementos de conocimiento a los funcionarios y personas que eventualmente desempeñen funciones públicas para que realicen su labor de acuerdo a las disposiciones constitucionales, legales y reglamentarias.</w:t>
      </w:r>
    </w:p>
    <w:p w:rsidR="00664919" w:rsidRPr="00E10139" w:rsidRDefault="00E10139" w:rsidP="00442CAC">
      <w:pPr>
        <w:pStyle w:val="Prrafodelista"/>
        <w:numPr>
          <w:ilvl w:val="0"/>
          <w:numId w:val="86"/>
        </w:numPr>
        <w:rPr>
          <w:rFonts w:cs="Arial"/>
          <w:sz w:val="22"/>
          <w:lang w:eastAsia="es-CO"/>
        </w:rPr>
      </w:pPr>
      <w:r w:rsidRPr="00E10139">
        <w:rPr>
          <w:rFonts w:cs="Arial"/>
          <w:sz w:val="22"/>
          <w:lang w:eastAsia="es-CO"/>
        </w:rPr>
        <w:t>Asumir dentro del Grupo acciones que mejoren el desempeño laboral y el compromiso institucional, entre ellas la capacitación</w:t>
      </w:r>
      <w:r w:rsidR="00664919" w:rsidRPr="00E10139">
        <w:rPr>
          <w:rFonts w:cs="Arial"/>
          <w:sz w:val="22"/>
          <w:lang w:eastAsia="es-CO"/>
        </w:rPr>
        <w:t xml:space="preserve"> </w:t>
      </w:r>
    </w:p>
    <w:p w:rsidR="00C91D00" w:rsidRDefault="00C91D00">
      <w:pPr>
        <w:spacing w:after="200" w:line="276" w:lineRule="auto"/>
        <w:jc w:val="left"/>
        <w:rPr>
          <w:rFonts w:cs="Arial"/>
          <w:sz w:val="22"/>
          <w:lang w:val="es-CO"/>
        </w:rPr>
      </w:pPr>
      <w:r>
        <w:rPr>
          <w:rFonts w:cs="Arial"/>
          <w:sz w:val="22"/>
          <w:lang w:val="es-CO"/>
        </w:rPr>
        <w:br w:type="page"/>
      </w:r>
    </w:p>
    <w:p w:rsidR="00BD72F0" w:rsidRPr="007E3988" w:rsidRDefault="00075969" w:rsidP="003D44B7">
      <w:pPr>
        <w:pStyle w:val="Ttulo1"/>
      </w:pPr>
      <w:bookmarkStart w:id="163" w:name="_Toc473412385"/>
      <w:bookmarkStart w:id="164" w:name="_Toc473412535"/>
      <w:bookmarkStart w:id="165" w:name="_Toc505003504"/>
      <w:r w:rsidRPr="007E3988">
        <w:lastRenderedPageBreak/>
        <w:t xml:space="preserve">GESTIÓN </w:t>
      </w:r>
      <w:r w:rsidR="00BD72F0" w:rsidRPr="007E3988">
        <w:t>JURÍDICA</w:t>
      </w:r>
      <w:bookmarkEnd w:id="163"/>
      <w:bookmarkEnd w:id="164"/>
      <w:bookmarkEnd w:id="165"/>
    </w:p>
    <w:p w:rsidR="00BD72F0" w:rsidRPr="007E3988" w:rsidRDefault="00BD72F0" w:rsidP="00BD72F0">
      <w:pPr>
        <w:rPr>
          <w:rFonts w:cs="Arial"/>
          <w:lang w:val="es-CO"/>
        </w:rPr>
      </w:pPr>
    </w:p>
    <w:p w:rsidR="001446DE" w:rsidRPr="00C92D99" w:rsidRDefault="001446DE" w:rsidP="001446DE">
      <w:pPr>
        <w:spacing w:before="100" w:after="200"/>
        <w:rPr>
          <w:rFonts w:cs="Arial"/>
          <w:bCs/>
          <w:sz w:val="22"/>
        </w:rPr>
      </w:pPr>
      <w:r w:rsidRPr="00C92D99">
        <w:rPr>
          <w:rFonts w:cs="Arial"/>
          <w:b/>
          <w:bCs/>
          <w:sz w:val="22"/>
        </w:rPr>
        <w:t>Conceptos y apoyo legal:</w:t>
      </w:r>
      <w:r w:rsidRPr="00C92D99">
        <w:rPr>
          <w:rFonts w:cs="Arial"/>
          <w:bCs/>
          <w:sz w:val="22"/>
        </w:rPr>
        <w:t xml:space="preserve"> El grupo de </w:t>
      </w:r>
      <w:r>
        <w:rPr>
          <w:rFonts w:cs="Arial"/>
          <w:bCs/>
          <w:sz w:val="22"/>
        </w:rPr>
        <w:t>conceptos y apoyo l</w:t>
      </w:r>
      <w:r w:rsidRPr="00C92D99">
        <w:rPr>
          <w:rFonts w:cs="Arial"/>
          <w:bCs/>
          <w:sz w:val="22"/>
        </w:rPr>
        <w:t>egal, emitió 1973 conceptos jurídicos, los cuales están relacionados con temas de transporte, tránsito y de manera general todo aspecto jurídico que deba ser resuelto por el Ministerio de Transporte, adicional a lo anterior se estudiaron 155 Actos Administrativos.</w:t>
      </w:r>
    </w:p>
    <w:p w:rsidR="001446DE" w:rsidRPr="00C92D99" w:rsidRDefault="001446DE" w:rsidP="001446DE">
      <w:pPr>
        <w:spacing w:before="100" w:after="200"/>
        <w:rPr>
          <w:rFonts w:cs="Arial"/>
          <w:bCs/>
          <w:sz w:val="22"/>
        </w:rPr>
      </w:pPr>
      <w:r w:rsidRPr="00C92D99">
        <w:rPr>
          <w:rFonts w:cs="Arial"/>
          <w:b/>
          <w:bCs/>
          <w:sz w:val="22"/>
        </w:rPr>
        <w:t>Defensa judicial:</w:t>
      </w:r>
      <w:r w:rsidRPr="00C92D99">
        <w:rPr>
          <w:rFonts w:cs="Arial"/>
          <w:bCs/>
          <w:sz w:val="22"/>
        </w:rPr>
        <w:t xml:space="preserve"> Ministerio de Transporte atiende los procesos judiciales y extrajudiciales en los que sea parte, en el 2017 se tramitaron a través de todas sus territoriales 2.000 procesos, cuyas pretensiones ascendieron a la suma de $29.156.327.247.178, de los cuales se identifica la Reparación Directa como la acción impetrada más frecuente.</w:t>
      </w:r>
    </w:p>
    <w:p w:rsidR="001446DE" w:rsidRDefault="001446DE" w:rsidP="001446DE">
      <w:pPr>
        <w:rPr>
          <w:rFonts w:cs="Arial"/>
          <w:bCs/>
          <w:sz w:val="22"/>
        </w:rPr>
      </w:pPr>
      <w:r w:rsidRPr="00C92D99">
        <w:rPr>
          <w:rFonts w:cs="Arial"/>
          <w:bCs/>
          <w:sz w:val="22"/>
        </w:rPr>
        <w:t>De estos 2000 procesos, fueron notificados 267, se finalizaron 98 de los cuales 93 se fallaron de manera favorable para el Ministerio de Transporte y 5 de forma desfavorable, lo que representó una tasa de éxito del 95%.</w:t>
      </w:r>
    </w:p>
    <w:p w:rsidR="001446DE" w:rsidRPr="00C92D99" w:rsidRDefault="001446DE" w:rsidP="001446DE">
      <w:pPr>
        <w:rPr>
          <w:rFonts w:cs="Arial"/>
          <w:bCs/>
          <w:sz w:val="22"/>
        </w:rPr>
      </w:pPr>
    </w:p>
    <w:p w:rsidR="001446DE" w:rsidRDefault="001446DE" w:rsidP="001446DE">
      <w:pPr>
        <w:spacing w:before="100" w:after="200"/>
        <w:rPr>
          <w:rFonts w:cs="Arial"/>
          <w:bCs/>
          <w:sz w:val="22"/>
        </w:rPr>
      </w:pPr>
      <w:r w:rsidRPr="00C92D99">
        <w:rPr>
          <w:rFonts w:cs="Arial"/>
          <w:b/>
          <w:bCs/>
          <w:sz w:val="22"/>
        </w:rPr>
        <w:t xml:space="preserve">Cobro </w:t>
      </w:r>
      <w:r>
        <w:rPr>
          <w:rFonts w:cs="Arial"/>
          <w:b/>
          <w:bCs/>
          <w:sz w:val="22"/>
        </w:rPr>
        <w:t>C</w:t>
      </w:r>
      <w:r w:rsidRPr="00C92D99">
        <w:rPr>
          <w:rFonts w:cs="Arial"/>
          <w:b/>
          <w:bCs/>
          <w:sz w:val="22"/>
        </w:rPr>
        <w:t>oactivo:</w:t>
      </w:r>
      <w:r w:rsidRPr="00C92D99">
        <w:rPr>
          <w:rFonts w:cs="Arial"/>
          <w:bCs/>
          <w:sz w:val="22"/>
        </w:rPr>
        <w:t xml:space="preserve"> Para el año 2017 se realizó gestión cobro persuasivo, requerimiento, investigación de bienes, mandamientos de pago, autos de embargo, se resolvieron excepciones contra los mandamientos de pago, recursos de reposición, levantamiento de medidas cautelares, autos de archivo, se elaboraron fichas de remisibilidad y por prescripción proyectos de resolución por ausencia de bienes de los deudores. Se culminó el año con un total de 252 procesos que representan una cartera total </w:t>
      </w:r>
      <w:r>
        <w:rPr>
          <w:rFonts w:cs="Arial"/>
          <w:bCs/>
          <w:sz w:val="22"/>
        </w:rPr>
        <w:t>de $15.680.246.662.95</w:t>
      </w:r>
      <w:r w:rsidRPr="00C92D99">
        <w:rPr>
          <w:rFonts w:cs="Arial"/>
          <w:bCs/>
          <w:sz w:val="22"/>
        </w:rPr>
        <w:t>.  El recaudo del año 2017 de $2.777.889.324.39.</w:t>
      </w:r>
    </w:p>
    <w:p w:rsidR="001446DE" w:rsidRPr="00C92D99" w:rsidRDefault="001446DE" w:rsidP="001446DE">
      <w:pPr>
        <w:spacing w:before="100" w:after="200"/>
        <w:rPr>
          <w:rFonts w:cs="Arial"/>
          <w:bCs/>
          <w:sz w:val="22"/>
        </w:rPr>
      </w:pPr>
      <w:r w:rsidRPr="00C92D99">
        <w:rPr>
          <w:rFonts w:cs="Arial"/>
          <w:b/>
          <w:bCs/>
          <w:sz w:val="22"/>
        </w:rPr>
        <w:t>Contratos:</w:t>
      </w:r>
      <w:r w:rsidRPr="00C92D99">
        <w:rPr>
          <w:rFonts w:cs="Arial"/>
          <w:bCs/>
          <w:sz w:val="22"/>
        </w:rPr>
        <w:t xml:space="preserve"> El Grupo Contratos termino para la vigencia 2017 con un total de 841 tramitados. De la anterior cifra se establece que se realizaron 2 concursos de méritos, 2 licitaciones públicas, 25 mínimas cuantías, 9 selecciones abreviadas, 792 procesos de contratación directa, 3 procesos de banca multilateral y 8 subastas inversas. Se implementó mediante el Sistema de Contratación - SISCO el registro de los 841 contratos. De los cuales se logró generar documentación para las etapas precontractual y contractual con la información consignada en el sistema, ahorrando tiempos en el proceso de contratación y mitigando errores humanos. El manejo total de la plataforma SECOP II para la publicación de los procesos contractuales del Ministerio de Transporte.</w:t>
      </w:r>
    </w:p>
    <w:p w:rsidR="001446DE" w:rsidRPr="00C92D99" w:rsidRDefault="001446DE" w:rsidP="001446DE">
      <w:pPr>
        <w:rPr>
          <w:rFonts w:cs="Arial"/>
          <w:bCs/>
          <w:sz w:val="22"/>
        </w:rPr>
      </w:pPr>
    </w:p>
    <w:p w:rsidR="001446DE" w:rsidRDefault="001446DE" w:rsidP="001446DE">
      <w:pPr>
        <w:rPr>
          <w:rFonts w:cs="Arial"/>
          <w:b/>
          <w:sz w:val="22"/>
          <w:lang w:eastAsia="es-CO"/>
        </w:rPr>
      </w:pPr>
      <w:r w:rsidRPr="00C92D99">
        <w:rPr>
          <w:rFonts w:cs="Arial"/>
          <w:b/>
          <w:sz w:val="22"/>
          <w:lang w:eastAsia="es-CO"/>
        </w:rPr>
        <w:t>Logros alcanzados</w:t>
      </w:r>
      <w:r>
        <w:rPr>
          <w:rFonts w:cs="Arial"/>
          <w:b/>
          <w:sz w:val="22"/>
          <w:lang w:eastAsia="es-CO"/>
        </w:rPr>
        <w:t xml:space="preserve"> en el 2017.</w:t>
      </w:r>
    </w:p>
    <w:p w:rsidR="001446DE" w:rsidRPr="00C92D99" w:rsidRDefault="001446DE" w:rsidP="001446DE">
      <w:pPr>
        <w:pStyle w:val="Prrafodelista"/>
        <w:numPr>
          <w:ilvl w:val="0"/>
          <w:numId w:val="93"/>
        </w:numPr>
        <w:spacing w:before="100" w:after="200"/>
        <w:rPr>
          <w:rFonts w:cs="Arial"/>
          <w:bCs/>
          <w:sz w:val="22"/>
        </w:rPr>
      </w:pPr>
      <w:r w:rsidRPr="00C92D99">
        <w:rPr>
          <w:rFonts w:cs="Arial"/>
          <w:bCs/>
          <w:sz w:val="22"/>
        </w:rPr>
        <w:t>Aprobación por parte de la Agencia Nacional de Defensa Jurídica del Estado por el compromiso en la construcción de hitos  para la reducción de la litigiosidad en procura de la defensa de los intereses de la entidad  y los recursos públicos de la Nación, mediante el  logro de  la formulación de su Política de Prevención del Daño Antijurídico para el año 2017 y haber gestado la formulación de Directriz de Defensa Judicial para el tratamiento del tema de  Conciliaciones  conforme a la metodología de la Agencia.</w:t>
      </w:r>
    </w:p>
    <w:p w:rsidR="001446DE" w:rsidRPr="00C92D99" w:rsidRDefault="001446DE" w:rsidP="001446DE">
      <w:pPr>
        <w:pStyle w:val="Prrafodelista"/>
        <w:numPr>
          <w:ilvl w:val="0"/>
          <w:numId w:val="93"/>
        </w:numPr>
        <w:spacing w:before="100" w:after="200"/>
        <w:rPr>
          <w:rFonts w:cs="Arial"/>
          <w:bCs/>
          <w:sz w:val="22"/>
        </w:rPr>
      </w:pPr>
      <w:r w:rsidRPr="00C92D99">
        <w:rPr>
          <w:rFonts w:cs="Arial"/>
          <w:bCs/>
          <w:sz w:val="22"/>
        </w:rPr>
        <w:t>Se mantuvo bimensualmente actualizada la relatoría de conceptos jurídicos: Dónde la ciudadanía puede consultar los conceptos relevantes expedidos por la oficina jurídica en asuntos de transporte, tránsito y administrativo.</w:t>
      </w:r>
    </w:p>
    <w:p w:rsidR="001446DE" w:rsidRPr="001446DE" w:rsidRDefault="00576E08" w:rsidP="001446DE">
      <w:pPr>
        <w:pStyle w:val="Prrafodelista"/>
        <w:numPr>
          <w:ilvl w:val="0"/>
          <w:numId w:val="93"/>
        </w:numPr>
        <w:rPr>
          <w:rFonts w:cs="Arial"/>
          <w:bCs/>
          <w:sz w:val="22"/>
        </w:rPr>
      </w:pPr>
      <w:hyperlink r:id="rId32" w:history="1">
        <w:r w:rsidR="001446DE" w:rsidRPr="001446DE">
          <w:rPr>
            <w:rFonts w:cs="Arial"/>
            <w:sz w:val="22"/>
          </w:rPr>
          <w:t>https</w:t>
        </w:r>
      </w:hyperlink>
      <w:hyperlink r:id="rId33" w:history="1">
        <w:r w:rsidR="001446DE" w:rsidRPr="001446DE">
          <w:rPr>
            <w:rFonts w:cs="Arial"/>
            <w:sz w:val="22"/>
          </w:rPr>
          <w:t>://www.mintransporte.gov.co/Publicaciones/relatoria_de_conceptos_juridicos</w:t>
        </w:r>
      </w:hyperlink>
      <w:r w:rsidR="001446DE" w:rsidRPr="001446DE">
        <w:rPr>
          <w:rFonts w:cs="Arial"/>
          <w:bCs/>
          <w:sz w:val="22"/>
        </w:rPr>
        <w:t xml:space="preserve"> </w:t>
      </w:r>
    </w:p>
    <w:p w:rsidR="001446DE" w:rsidRDefault="001446DE" w:rsidP="001446DE">
      <w:pPr>
        <w:pStyle w:val="Prrafodelista"/>
        <w:numPr>
          <w:ilvl w:val="0"/>
          <w:numId w:val="93"/>
        </w:numPr>
        <w:tabs>
          <w:tab w:val="left" w:pos="426"/>
        </w:tabs>
        <w:spacing w:before="100" w:after="200"/>
        <w:rPr>
          <w:rFonts w:cs="Arial"/>
          <w:bCs/>
          <w:sz w:val="22"/>
        </w:rPr>
      </w:pPr>
      <w:r w:rsidRPr="00C92D99">
        <w:rPr>
          <w:rFonts w:cs="Arial"/>
          <w:bCs/>
          <w:sz w:val="22"/>
        </w:rPr>
        <w:t>Se mantuvo actualizado un link para la consulta del Decreto Único del Sector Transporte, lo cual permite a través de las tecnologías de información y las comunicaciones, la facilidad de consulta de la normativa en los asuntos de Transporte y Transito:</w:t>
      </w:r>
    </w:p>
    <w:p w:rsidR="001446DE" w:rsidRDefault="00576E08" w:rsidP="001446DE">
      <w:pPr>
        <w:pStyle w:val="Prrafodelista"/>
        <w:numPr>
          <w:ilvl w:val="0"/>
          <w:numId w:val="93"/>
        </w:numPr>
        <w:spacing w:before="100" w:after="200"/>
        <w:rPr>
          <w:rFonts w:cs="Arial"/>
          <w:sz w:val="22"/>
        </w:rPr>
      </w:pPr>
      <w:hyperlink r:id="rId34" w:history="1">
        <w:r w:rsidR="001446DE" w:rsidRPr="00D839B2">
          <w:rPr>
            <w:rStyle w:val="Hipervnculo"/>
            <w:rFonts w:cs="Arial"/>
            <w:sz w:val="22"/>
          </w:rPr>
          <w:t>https://www.mintransporte.gov.co/Documentos/Normatividad/decreto_unico_reglamento_-</w:t>
        </w:r>
      </w:hyperlink>
      <w:hyperlink r:id="rId35" w:history="1">
        <w:r w:rsidR="001446DE" w:rsidRPr="00C92D99">
          <w:rPr>
            <w:rFonts w:cs="Arial"/>
            <w:sz w:val="22"/>
          </w:rPr>
          <w:t>dur</w:t>
        </w:r>
      </w:hyperlink>
    </w:p>
    <w:p w:rsidR="001446DE" w:rsidRDefault="001446DE" w:rsidP="001446DE">
      <w:pPr>
        <w:pStyle w:val="Prrafodelista"/>
        <w:numPr>
          <w:ilvl w:val="0"/>
          <w:numId w:val="93"/>
        </w:numPr>
        <w:rPr>
          <w:rFonts w:cs="Arial"/>
          <w:bCs/>
          <w:sz w:val="22"/>
        </w:rPr>
      </w:pPr>
      <w:r w:rsidRPr="00C92D99">
        <w:rPr>
          <w:rFonts w:cs="Arial"/>
          <w:bCs/>
          <w:sz w:val="22"/>
        </w:rPr>
        <w:t>Se implementó mediante el Sistema de Contratación - SISCO el registro de los 841 contratos.</w:t>
      </w:r>
      <w:r>
        <w:rPr>
          <w:rFonts w:cs="Arial"/>
          <w:bCs/>
          <w:sz w:val="22"/>
        </w:rPr>
        <w:t xml:space="preserve"> </w:t>
      </w:r>
      <w:r w:rsidRPr="00C92D99">
        <w:rPr>
          <w:rFonts w:cs="Arial"/>
          <w:bCs/>
          <w:sz w:val="22"/>
        </w:rPr>
        <w:t>De los cuales se logró generar documentación para las etapas precontractual y contractual con la información consignada en el sistema, ahorrando tiempos en el proceso de contratación y mitigando errores humanos.</w:t>
      </w:r>
    </w:p>
    <w:p w:rsidR="001446DE" w:rsidRPr="00AE734C" w:rsidRDefault="001446DE" w:rsidP="001446DE">
      <w:pPr>
        <w:pStyle w:val="Prrafodelista"/>
        <w:numPr>
          <w:ilvl w:val="0"/>
          <w:numId w:val="93"/>
        </w:numPr>
        <w:rPr>
          <w:rFonts w:cs="Arial"/>
          <w:bCs/>
          <w:sz w:val="22"/>
        </w:rPr>
      </w:pPr>
      <w:r w:rsidRPr="00C92D99">
        <w:rPr>
          <w:rFonts w:cs="Arial"/>
          <w:bCs/>
          <w:sz w:val="22"/>
        </w:rPr>
        <w:t>El manejo total de la plataforma SECOP II para la publicación de los procesos contractuales del Ministerio de Transporte.</w:t>
      </w:r>
    </w:p>
    <w:p w:rsidR="001446DE" w:rsidRPr="00AE734C" w:rsidRDefault="001446DE" w:rsidP="001446DE">
      <w:pPr>
        <w:pStyle w:val="Prrafodelista"/>
        <w:numPr>
          <w:ilvl w:val="0"/>
          <w:numId w:val="93"/>
        </w:numPr>
        <w:spacing w:before="100" w:after="200"/>
        <w:rPr>
          <w:rFonts w:cs="Arial"/>
          <w:bCs/>
          <w:sz w:val="22"/>
        </w:rPr>
      </w:pPr>
      <w:r w:rsidRPr="00C92D99">
        <w:rPr>
          <w:rFonts w:cs="Arial"/>
          <w:bCs/>
          <w:sz w:val="22"/>
        </w:rPr>
        <w:t>Modificación y adecuación del Reglamento Interno de Recaudo de Cartera del Ministerio de Transporte</w:t>
      </w:r>
      <w:r>
        <w:rPr>
          <w:rFonts w:cs="Arial"/>
          <w:bCs/>
          <w:sz w:val="22"/>
        </w:rPr>
        <w:t>.</w:t>
      </w:r>
    </w:p>
    <w:p w:rsidR="001446DE" w:rsidRPr="00C92D99" w:rsidRDefault="001446DE" w:rsidP="001446DE">
      <w:pPr>
        <w:pStyle w:val="Prrafodelista"/>
        <w:numPr>
          <w:ilvl w:val="0"/>
          <w:numId w:val="93"/>
        </w:numPr>
        <w:spacing w:before="100" w:after="200"/>
        <w:rPr>
          <w:rFonts w:cs="Arial"/>
          <w:bCs/>
          <w:sz w:val="22"/>
        </w:rPr>
      </w:pPr>
      <w:r w:rsidRPr="00C92D99">
        <w:rPr>
          <w:rFonts w:cs="Arial"/>
          <w:bCs/>
          <w:sz w:val="22"/>
        </w:rPr>
        <w:t>Organización, foliación de archivo de más de diez (10)  años y su envío al archivo central del Ministerio de Transporte</w:t>
      </w:r>
    </w:p>
    <w:p w:rsidR="001446DE" w:rsidRPr="00C92D99" w:rsidRDefault="001446DE" w:rsidP="001446DE">
      <w:pPr>
        <w:pStyle w:val="Prrafodelista"/>
        <w:numPr>
          <w:ilvl w:val="0"/>
          <w:numId w:val="93"/>
        </w:numPr>
        <w:spacing w:before="100" w:after="200"/>
        <w:rPr>
          <w:rFonts w:cs="Arial"/>
          <w:bCs/>
          <w:sz w:val="22"/>
        </w:rPr>
      </w:pPr>
      <w:r w:rsidRPr="00C92D99">
        <w:rPr>
          <w:rFonts w:cs="Arial"/>
          <w:bCs/>
          <w:sz w:val="22"/>
        </w:rPr>
        <w:t xml:space="preserve">Gestión del 100% de procesos </w:t>
      </w:r>
      <w:r>
        <w:rPr>
          <w:rFonts w:cs="Arial"/>
          <w:bCs/>
          <w:sz w:val="22"/>
        </w:rPr>
        <w:t xml:space="preserve">de Cobro Coactivo </w:t>
      </w:r>
      <w:r w:rsidRPr="00C92D99">
        <w:rPr>
          <w:rFonts w:cs="Arial"/>
          <w:bCs/>
          <w:sz w:val="22"/>
        </w:rPr>
        <w:t>asignados a 30 de septiembre de 2017</w:t>
      </w:r>
    </w:p>
    <w:p w:rsidR="001446DE" w:rsidRPr="00C92D99" w:rsidRDefault="001446DE" w:rsidP="001446DE">
      <w:pPr>
        <w:pStyle w:val="Prrafodelista"/>
        <w:numPr>
          <w:ilvl w:val="0"/>
          <w:numId w:val="93"/>
        </w:numPr>
        <w:spacing w:before="100" w:after="200"/>
        <w:rPr>
          <w:rFonts w:cs="Arial"/>
          <w:bCs/>
          <w:sz w:val="22"/>
        </w:rPr>
      </w:pPr>
      <w:r w:rsidRPr="00C92D99">
        <w:rPr>
          <w:rFonts w:cs="Arial"/>
          <w:bCs/>
          <w:sz w:val="22"/>
        </w:rPr>
        <w:lastRenderedPageBreak/>
        <w:t>Análisis de los procesos de difícil cobro con elaboración de las respectivas fichas de remisibilidad y resoluciones por prescripción de la obligación</w:t>
      </w:r>
    </w:p>
    <w:p w:rsidR="001446DE" w:rsidRPr="00AE734C" w:rsidRDefault="001446DE" w:rsidP="001446DE">
      <w:pPr>
        <w:rPr>
          <w:rFonts w:cs="Arial"/>
          <w:b/>
          <w:bCs/>
          <w:sz w:val="22"/>
        </w:rPr>
      </w:pPr>
      <w:r w:rsidRPr="00AE734C">
        <w:rPr>
          <w:rFonts w:cs="Arial"/>
          <w:b/>
          <w:bCs/>
          <w:sz w:val="22"/>
        </w:rPr>
        <w:t>Retos 2018</w:t>
      </w:r>
      <w:r>
        <w:rPr>
          <w:rFonts w:cs="Arial"/>
          <w:b/>
          <w:bCs/>
          <w:sz w:val="22"/>
        </w:rPr>
        <w:t>.</w:t>
      </w:r>
    </w:p>
    <w:p w:rsidR="001446DE" w:rsidRPr="00C92D99" w:rsidRDefault="001446DE" w:rsidP="001446DE">
      <w:pPr>
        <w:pStyle w:val="Prrafodelista"/>
        <w:numPr>
          <w:ilvl w:val="0"/>
          <w:numId w:val="94"/>
        </w:numPr>
        <w:shd w:val="clear" w:color="auto" w:fill="FFFFFF"/>
        <w:spacing w:before="100" w:after="200"/>
        <w:rPr>
          <w:rFonts w:cs="Arial"/>
          <w:bCs/>
          <w:sz w:val="22"/>
        </w:rPr>
      </w:pPr>
      <w:r w:rsidRPr="00C92D99">
        <w:rPr>
          <w:rFonts w:cs="Arial"/>
          <w:bCs/>
          <w:sz w:val="22"/>
        </w:rPr>
        <w:t xml:space="preserve">Publicación de procesos contractuales en el SECOP II: La nueva versión del Sistema Electrónico de Contratación Pública permite a compradores y proveedores realizar el Proceso de Contratación en línea.  Las Entidades Estatales podrán crear y adjudicar Procesos de Contratación, registrar y hacer seguimiento a la ejecución contractual. </w:t>
      </w:r>
    </w:p>
    <w:p w:rsidR="001446DE" w:rsidRPr="00AE734C" w:rsidRDefault="001446DE" w:rsidP="001446DE">
      <w:pPr>
        <w:pStyle w:val="Prrafodelista"/>
        <w:numPr>
          <w:ilvl w:val="0"/>
          <w:numId w:val="94"/>
        </w:numPr>
        <w:spacing w:before="100" w:after="200"/>
        <w:rPr>
          <w:rFonts w:cs="Arial"/>
          <w:bCs/>
          <w:sz w:val="22"/>
        </w:rPr>
      </w:pPr>
      <w:r w:rsidRPr="00C92D99">
        <w:rPr>
          <w:rFonts w:cs="Arial"/>
          <w:bCs/>
          <w:sz w:val="22"/>
        </w:rPr>
        <w:t>Elaboración de todos los procesos contractuales en el aplicativo SISCO: Mediante esta herramienta se procura optimizar la gestión de la información, donde se podrá conocer en tiempo real el estado de todos los procesos tramitados por el Ministerio de Transporte.</w:t>
      </w:r>
    </w:p>
    <w:p w:rsidR="001446DE" w:rsidRPr="00AE734C" w:rsidRDefault="001446DE" w:rsidP="001446DE">
      <w:pPr>
        <w:pStyle w:val="Prrafodelista"/>
        <w:numPr>
          <w:ilvl w:val="0"/>
          <w:numId w:val="94"/>
        </w:numPr>
        <w:spacing w:before="100" w:after="200"/>
        <w:rPr>
          <w:rFonts w:cs="Arial"/>
          <w:bCs/>
          <w:sz w:val="22"/>
        </w:rPr>
      </w:pPr>
      <w:r w:rsidRPr="00C92D99">
        <w:rPr>
          <w:rFonts w:cs="Arial"/>
          <w:bCs/>
          <w:sz w:val="22"/>
        </w:rPr>
        <w:t>Actualización de la relatoría de conceptos jurídicos.</w:t>
      </w:r>
      <w:r>
        <w:rPr>
          <w:rFonts w:cs="Arial"/>
          <w:bCs/>
          <w:sz w:val="22"/>
        </w:rPr>
        <w:t xml:space="preserve"> </w:t>
      </w:r>
      <w:r w:rsidRPr="00AE734C">
        <w:rPr>
          <w:rFonts w:cs="Arial"/>
          <w:bCs/>
          <w:sz w:val="22"/>
        </w:rPr>
        <w:t>Como un medio de interacción con la ciudadanía, se tiene una relatoría que contiene los conceptos más relevantes emitidos por este grupo del Ministerio de Transporte, herramienta que permite la consulta actualizada sobre los diferentes temas que son de interés de la población en general.</w:t>
      </w:r>
    </w:p>
    <w:p w:rsidR="001446DE" w:rsidRPr="00AE734C" w:rsidRDefault="001446DE" w:rsidP="001446DE">
      <w:pPr>
        <w:pStyle w:val="Prrafodelista"/>
        <w:numPr>
          <w:ilvl w:val="0"/>
          <w:numId w:val="94"/>
        </w:numPr>
        <w:spacing w:before="100" w:after="200"/>
        <w:rPr>
          <w:rFonts w:cs="Arial"/>
          <w:bCs/>
          <w:sz w:val="22"/>
        </w:rPr>
      </w:pPr>
      <w:r>
        <w:rPr>
          <w:rFonts w:cs="Arial"/>
          <w:bCs/>
          <w:sz w:val="22"/>
        </w:rPr>
        <w:t>Mantener actualizado el DUR</w:t>
      </w:r>
      <w:r w:rsidRPr="00C92D99">
        <w:rPr>
          <w:rFonts w:cs="Arial"/>
          <w:bCs/>
          <w:sz w:val="22"/>
        </w:rPr>
        <w:t xml:space="preserve"> frente a p</w:t>
      </w:r>
      <w:r>
        <w:rPr>
          <w:rFonts w:cs="Arial"/>
          <w:bCs/>
          <w:sz w:val="22"/>
        </w:rPr>
        <w:t>ublicaciones que modifiquen el Decreto Único del sector de T</w:t>
      </w:r>
      <w:r w:rsidRPr="00C92D99">
        <w:rPr>
          <w:rFonts w:cs="Arial"/>
          <w:bCs/>
          <w:sz w:val="22"/>
        </w:rPr>
        <w:t>ransporte.</w:t>
      </w:r>
      <w:r>
        <w:rPr>
          <w:rFonts w:cs="Arial"/>
          <w:bCs/>
          <w:sz w:val="22"/>
        </w:rPr>
        <w:t xml:space="preserve"> </w:t>
      </w:r>
      <w:r w:rsidRPr="00AE734C">
        <w:rPr>
          <w:rFonts w:cs="Arial"/>
          <w:bCs/>
          <w:sz w:val="22"/>
        </w:rPr>
        <w:t>De conformidad con lo dispuesto en el Decreto 1081 de 2015, se hace necesario publicar en el link del DUR Transporte, todas las normas que lo adicionen o modifiquen, compromiso del Grupo de Conceptos y Apoyo Legal para el 2018.</w:t>
      </w:r>
    </w:p>
    <w:p w:rsidR="001446DE" w:rsidRPr="00C92D99" w:rsidRDefault="001446DE" w:rsidP="001446DE">
      <w:pPr>
        <w:pStyle w:val="Prrafodelista"/>
        <w:numPr>
          <w:ilvl w:val="0"/>
          <w:numId w:val="94"/>
        </w:numPr>
        <w:rPr>
          <w:rFonts w:cs="Arial"/>
          <w:bCs/>
          <w:sz w:val="22"/>
        </w:rPr>
      </w:pPr>
      <w:r w:rsidRPr="00C92D99">
        <w:rPr>
          <w:rFonts w:cs="Arial"/>
          <w:bCs/>
          <w:sz w:val="22"/>
        </w:rPr>
        <w:t>Liquidar los contratos terminados de las vigencia del 2010 al 2017 y que reposan en el archivo del grupo.</w:t>
      </w:r>
    </w:p>
    <w:p w:rsidR="001446DE" w:rsidRPr="00C92D99" w:rsidRDefault="001446DE" w:rsidP="001446DE">
      <w:pPr>
        <w:pStyle w:val="Prrafodelista"/>
        <w:numPr>
          <w:ilvl w:val="0"/>
          <w:numId w:val="94"/>
        </w:numPr>
        <w:rPr>
          <w:rFonts w:cs="Arial"/>
          <w:bCs/>
          <w:sz w:val="22"/>
        </w:rPr>
      </w:pPr>
      <w:r w:rsidRPr="00C92D99">
        <w:rPr>
          <w:rFonts w:cs="Arial"/>
          <w:bCs/>
          <w:sz w:val="22"/>
        </w:rPr>
        <w:t>Mantener el programa SISCO actualizado e implementado en todos sus módulos.</w:t>
      </w:r>
    </w:p>
    <w:p w:rsidR="001446DE" w:rsidRPr="00C92D99" w:rsidRDefault="001446DE" w:rsidP="001446DE">
      <w:pPr>
        <w:pStyle w:val="Prrafodelista"/>
        <w:numPr>
          <w:ilvl w:val="0"/>
          <w:numId w:val="94"/>
        </w:numPr>
        <w:rPr>
          <w:rFonts w:cs="Arial"/>
          <w:bCs/>
          <w:sz w:val="22"/>
        </w:rPr>
      </w:pPr>
      <w:r w:rsidRPr="00C92D99">
        <w:rPr>
          <w:rFonts w:cs="Arial"/>
          <w:bCs/>
          <w:sz w:val="22"/>
        </w:rPr>
        <w:t>Seguir generando publicaciones en tiempo real por parte de todo el Grupo Contratos en el SECOP II.</w:t>
      </w:r>
    </w:p>
    <w:p w:rsidR="001446DE" w:rsidRPr="00C92D99" w:rsidRDefault="001446DE" w:rsidP="001446DE">
      <w:pPr>
        <w:pStyle w:val="Prrafodelista"/>
        <w:numPr>
          <w:ilvl w:val="0"/>
          <w:numId w:val="94"/>
        </w:numPr>
        <w:spacing w:before="100" w:after="200"/>
        <w:rPr>
          <w:rFonts w:cs="Arial"/>
          <w:bCs/>
          <w:sz w:val="22"/>
        </w:rPr>
      </w:pPr>
      <w:r w:rsidRPr="00C92D99">
        <w:rPr>
          <w:rFonts w:cs="Arial"/>
          <w:bCs/>
          <w:sz w:val="22"/>
        </w:rPr>
        <w:t xml:space="preserve">Expedir la Política de Defensa Judicial de Prevención del Daño Antijurídico para el año 2018. </w:t>
      </w:r>
    </w:p>
    <w:p w:rsidR="001446DE" w:rsidRDefault="001446DE" w:rsidP="001446DE">
      <w:pPr>
        <w:pStyle w:val="Prrafodelista"/>
        <w:numPr>
          <w:ilvl w:val="0"/>
          <w:numId w:val="94"/>
        </w:numPr>
        <w:shd w:val="clear" w:color="auto" w:fill="FFFFFF"/>
        <w:spacing w:before="100" w:after="200"/>
        <w:rPr>
          <w:rFonts w:cs="Arial"/>
          <w:bCs/>
          <w:sz w:val="22"/>
        </w:rPr>
      </w:pPr>
      <w:r w:rsidRPr="00C92D99">
        <w:rPr>
          <w:rFonts w:cs="Arial"/>
          <w:bCs/>
          <w:sz w:val="22"/>
        </w:rPr>
        <w:t>El 80% de los procesos</w:t>
      </w:r>
      <w:r>
        <w:rPr>
          <w:rFonts w:cs="Arial"/>
          <w:bCs/>
          <w:sz w:val="22"/>
        </w:rPr>
        <w:t xml:space="preserve"> para Cobro Coactivo</w:t>
      </w:r>
      <w:r w:rsidRPr="00C92D99">
        <w:rPr>
          <w:rFonts w:cs="Arial"/>
          <w:bCs/>
          <w:sz w:val="22"/>
        </w:rPr>
        <w:t xml:space="preserve"> asignados al 30 de junio de 2018 deben contar con resolución de seguir adelante la ejecución al 31 de diciembre de 2018.</w:t>
      </w:r>
    </w:p>
    <w:p w:rsidR="000C3469" w:rsidRPr="000C3469" w:rsidRDefault="001446DE" w:rsidP="00B41DCB">
      <w:pPr>
        <w:pStyle w:val="Prrafodelista"/>
        <w:numPr>
          <w:ilvl w:val="0"/>
          <w:numId w:val="94"/>
        </w:numPr>
        <w:shd w:val="clear" w:color="auto" w:fill="FFFFFF"/>
        <w:spacing w:before="100" w:after="200" w:line="276" w:lineRule="auto"/>
        <w:jc w:val="left"/>
        <w:rPr>
          <w:rFonts w:cs="Arial"/>
          <w:sz w:val="22"/>
        </w:rPr>
      </w:pPr>
      <w:r w:rsidRPr="000C3469">
        <w:rPr>
          <w:rFonts w:cs="Arial"/>
          <w:bCs/>
          <w:sz w:val="22"/>
        </w:rPr>
        <w:t>Realizar la socialización al interior del Ministerio de Transporte del nuevo Reglamento Interno de Recaudo de Cartera</w:t>
      </w:r>
      <w:r w:rsidR="00BD72F0" w:rsidRPr="000C3469">
        <w:rPr>
          <w:rFonts w:cs="Arial"/>
          <w:sz w:val="22"/>
        </w:rPr>
        <w:t>.</w:t>
      </w:r>
      <w:r w:rsidR="000C3469" w:rsidRPr="000C3469">
        <w:rPr>
          <w:rFonts w:cs="Arial"/>
          <w:sz w:val="22"/>
        </w:rPr>
        <w:br w:type="page"/>
      </w:r>
    </w:p>
    <w:p w:rsidR="005459D8" w:rsidRPr="007E3988" w:rsidRDefault="00E80B29" w:rsidP="003D44B7">
      <w:pPr>
        <w:pStyle w:val="Ttulo1"/>
      </w:pPr>
      <w:bookmarkStart w:id="166" w:name="_Toc473412386"/>
      <w:bookmarkStart w:id="167" w:name="_Toc473412536"/>
      <w:bookmarkStart w:id="168" w:name="_Toc505003505"/>
      <w:bookmarkStart w:id="169" w:name="_GoBack"/>
      <w:bookmarkEnd w:id="169"/>
      <w:r w:rsidRPr="007E3988">
        <w:lastRenderedPageBreak/>
        <w:t xml:space="preserve">GESTIÓN </w:t>
      </w:r>
      <w:r w:rsidR="005004EE" w:rsidRPr="007E3988">
        <w:t>BUEN GOBIERNO</w:t>
      </w:r>
      <w:bookmarkEnd w:id="166"/>
      <w:bookmarkEnd w:id="167"/>
      <w:bookmarkEnd w:id="168"/>
    </w:p>
    <w:p w:rsidR="00453B1A" w:rsidRPr="007E3988" w:rsidRDefault="00453B1A" w:rsidP="00453B1A">
      <w:pPr>
        <w:rPr>
          <w:rFonts w:cs="Arial"/>
          <w:sz w:val="22"/>
        </w:rPr>
      </w:pPr>
      <w:bookmarkStart w:id="170" w:name="_Toc441656067"/>
      <w:bookmarkStart w:id="171" w:name="_Toc441656869"/>
      <w:bookmarkStart w:id="172" w:name="_Toc441659658"/>
      <w:bookmarkStart w:id="173" w:name="_Toc441659806"/>
      <w:bookmarkStart w:id="174" w:name="_Toc441659963"/>
      <w:bookmarkStart w:id="175" w:name="_Toc441660016"/>
      <w:bookmarkStart w:id="176" w:name="_Toc441660838"/>
      <w:bookmarkStart w:id="177" w:name="_Toc441661147"/>
      <w:bookmarkStart w:id="178" w:name="_Toc441669945"/>
      <w:bookmarkStart w:id="179" w:name="_Toc441669987"/>
      <w:bookmarkStart w:id="180" w:name="_Toc441670230"/>
      <w:bookmarkStart w:id="181" w:name="_Toc441673928"/>
      <w:bookmarkStart w:id="182" w:name="_Toc441676712"/>
      <w:bookmarkStart w:id="183" w:name="_Toc441760709"/>
      <w:bookmarkStart w:id="184" w:name="_Toc441760752"/>
      <w:bookmarkStart w:id="185" w:name="_Toc441760884"/>
      <w:bookmarkStart w:id="186" w:name="_Toc441761419"/>
      <w:bookmarkStart w:id="187" w:name="_Toc441761731"/>
      <w:bookmarkStart w:id="188" w:name="_Toc441761872"/>
      <w:bookmarkStart w:id="189" w:name="_Toc441761930"/>
      <w:bookmarkStart w:id="190" w:name="_Toc441762120"/>
      <w:bookmarkStart w:id="191" w:name="_Toc441763227"/>
      <w:bookmarkStart w:id="192" w:name="_Toc441823892"/>
      <w:bookmarkStart w:id="193" w:name="_Toc441830149"/>
      <w:bookmarkStart w:id="194" w:name="_Toc441841673"/>
      <w:bookmarkStart w:id="195" w:name="_Toc441841954"/>
      <w:bookmarkStart w:id="196" w:name="_Toc441843802"/>
      <w:bookmarkStart w:id="197" w:name="_Toc441844467"/>
      <w:bookmarkStart w:id="198" w:name="_Toc443471533"/>
      <w:bookmarkStart w:id="199" w:name="_Toc443471943"/>
      <w:bookmarkStart w:id="200" w:name="_Toc44520145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453B1A" w:rsidRDefault="00306CBD" w:rsidP="00E23017">
      <w:pPr>
        <w:pStyle w:val="Ttulo2"/>
        <w:numPr>
          <w:ilvl w:val="1"/>
          <w:numId w:val="87"/>
        </w:numPr>
      </w:pPr>
      <w:bookmarkStart w:id="201" w:name="_Toc505003506"/>
      <w:r w:rsidRPr="007E3988">
        <w:t xml:space="preserve">Sistema </w:t>
      </w:r>
      <w:r w:rsidR="005F64F1">
        <w:t xml:space="preserve">de </w:t>
      </w:r>
      <w:r w:rsidR="00453B1A" w:rsidRPr="007E3988">
        <w:t xml:space="preserve">Gestión </w:t>
      </w:r>
      <w:r w:rsidR="005F64F1">
        <w:t>Integrado</w:t>
      </w:r>
      <w:bookmarkEnd w:id="201"/>
    </w:p>
    <w:p w:rsidR="005F64F1" w:rsidRPr="00DE2130" w:rsidRDefault="005F64F1" w:rsidP="005F64F1">
      <w:pPr>
        <w:rPr>
          <w:sz w:val="22"/>
        </w:rPr>
      </w:pPr>
      <w:r w:rsidRPr="00DE2130">
        <w:rPr>
          <w:sz w:val="22"/>
        </w:rPr>
        <w:t>Es un conjunto de referentes normativos mutuamente relacionados, que interactúan en cumplimiento de los propósitos de la entidad que han sido establecidos para el mejoramiento de su gestión institucional.</w:t>
      </w:r>
    </w:p>
    <w:p w:rsidR="005F64F1" w:rsidRPr="00DE2130" w:rsidRDefault="005F64F1" w:rsidP="005F64F1">
      <w:pPr>
        <w:rPr>
          <w:sz w:val="22"/>
        </w:rPr>
      </w:pPr>
    </w:p>
    <w:p w:rsidR="005F64F1" w:rsidRPr="00DE2130" w:rsidRDefault="005F64F1" w:rsidP="005F64F1">
      <w:pPr>
        <w:rPr>
          <w:sz w:val="22"/>
        </w:rPr>
      </w:pPr>
      <w:r w:rsidRPr="00DE2130">
        <w:rPr>
          <w:sz w:val="22"/>
        </w:rPr>
        <w:t>El Sistema de Gestión Integrado - SGI para el Ministerio de Transporte está compuesto por: </w:t>
      </w:r>
    </w:p>
    <w:p w:rsidR="005F64F1" w:rsidRPr="00DE2130" w:rsidRDefault="005F64F1" w:rsidP="00442CAC">
      <w:pPr>
        <w:numPr>
          <w:ilvl w:val="0"/>
          <w:numId w:val="77"/>
        </w:numPr>
        <w:spacing w:before="100" w:beforeAutospacing="1"/>
        <w:ind w:left="714" w:hanging="357"/>
        <w:contextualSpacing/>
        <w:rPr>
          <w:sz w:val="22"/>
        </w:rPr>
      </w:pPr>
      <w:r w:rsidRPr="00DE2130">
        <w:rPr>
          <w:sz w:val="22"/>
        </w:rPr>
        <w:t>NTCGP1000 y NTC-ISO 9001, las cuales definen el Sistema de Gestión de Calidad. </w:t>
      </w:r>
    </w:p>
    <w:p w:rsidR="005F64F1" w:rsidRPr="00DE2130" w:rsidRDefault="005F64F1" w:rsidP="00442CAC">
      <w:pPr>
        <w:numPr>
          <w:ilvl w:val="0"/>
          <w:numId w:val="77"/>
        </w:numPr>
        <w:spacing w:before="100" w:beforeAutospacing="1"/>
        <w:ind w:left="714" w:hanging="357"/>
        <w:contextualSpacing/>
        <w:rPr>
          <w:sz w:val="22"/>
        </w:rPr>
      </w:pPr>
      <w:r w:rsidRPr="00DE2130">
        <w:rPr>
          <w:sz w:val="22"/>
        </w:rPr>
        <w:t>El Modelo Estándar de Control Interno-MECI. </w:t>
      </w:r>
    </w:p>
    <w:p w:rsidR="005F64F1" w:rsidRPr="00DE2130" w:rsidRDefault="005F64F1" w:rsidP="00442CAC">
      <w:pPr>
        <w:numPr>
          <w:ilvl w:val="0"/>
          <w:numId w:val="77"/>
        </w:numPr>
        <w:spacing w:before="100" w:beforeAutospacing="1"/>
        <w:ind w:left="714" w:hanging="357"/>
        <w:contextualSpacing/>
        <w:rPr>
          <w:sz w:val="22"/>
        </w:rPr>
      </w:pPr>
      <w:r w:rsidRPr="00DE2130">
        <w:rPr>
          <w:sz w:val="22"/>
        </w:rPr>
        <w:t>Modelo Integrado de Planeación y Gestión. </w:t>
      </w:r>
    </w:p>
    <w:p w:rsidR="005F64F1" w:rsidRPr="00DE2130" w:rsidRDefault="005F64F1" w:rsidP="00442CAC">
      <w:pPr>
        <w:numPr>
          <w:ilvl w:val="0"/>
          <w:numId w:val="77"/>
        </w:numPr>
        <w:spacing w:before="100" w:beforeAutospacing="1"/>
        <w:ind w:left="714" w:hanging="357"/>
        <w:contextualSpacing/>
        <w:rPr>
          <w:sz w:val="22"/>
        </w:rPr>
      </w:pPr>
      <w:r w:rsidRPr="00DE2130">
        <w:rPr>
          <w:sz w:val="22"/>
        </w:rPr>
        <w:t xml:space="preserve">El Sistema de Gestión de Seguridad y Salud en el Trabajo. </w:t>
      </w:r>
    </w:p>
    <w:p w:rsidR="005F64F1" w:rsidRPr="00DE2130" w:rsidRDefault="005F64F1" w:rsidP="00442CAC">
      <w:pPr>
        <w:numPr>
          <w:ilvl w:val="0"/>
          <w:numId w:val="77"/>
        </w:numPr>
        <w:spacing w:before="100" w:beforeAutospacing="1"/>
        <w:ind w:left="714" w:hanging="357"/>
        <w:contextualSpacing/>
        <w:rPr>
          <w:sz w:val="22"/>
        </w:rPr>
      </w:pPr>
      <w:r w:rsidRPr="00DE2130">
        <w:rPr>
          <w:sz w:val="22"/>
        </w:rPr>
        <w:t>Gobierno en Línea</w:t>
      </w:r>
    </w:p>
    <w:p w:rsidR="005F64F1" w:rsidRPr="00DE2130" w:rsidRDefault="005F64F1" w:rsidP="00442CAC">
      <w:pPr>
        <w:numPr>
          <w:ilvl w:val="0"/>
          <w:numId w:val="77"/>
        </w:numPr>
        <w:ind w:left="714" w:hanging="357"/>
        <w:contextualSpacing/>
        <w:rPr>
          <w:sz w:val="22"/>
        </w:rPr>
      </w:pPr>
      <w:r w:rsidRPr="00DE2130">
        <w:rPr>
          <w:sz w:val="22"/>
        </w:rPr>
        <w:t>Plan Anticorrupción y Atención al Ciudadano.</w:t>
      </w:r>
    </w:p>
    <w:p w:rsidR="005F64F1" w:rsidRDefault="005F64F1" w:rsidP="005F64F1">
      <w:pPr>
        <w:rPr>
          <w:sz w:val="22"/>
        </w:rPr>
      </w:pPr>
    </w:p>
    <w:p w:rsidR="005F64F1" w:rsidRDefault="005F64F1" w:rsidP="00906DA1">
      <w:pPr>
        <w:spacing w:after="120"/>
        <w:contextualSpacing/>
        <w:rPr>
          <w:sz w:val="22"/>
        </w:rPr>
      </w:pPr>
      <w:r w:rsidRPr="005F64F1">
        <w:rPr>
          <w:sz w:val="22"/>
          <w:u w:val="single"/>
        </w:rPr>
        <w:t>Política Sistema de Gestión Integrado</w:t>
      </w:r>
      <w:r>
        <w:rPr>
          <w:sz w:val="22"/>
        </w:rPr>
        <w:t xml:space="preserve">: </w:t>
      </w:r>
      <w:r w:rsidRPr="005F64F1">
        <w:rPr>
          <w:sz w:val="22"/>
        </w:rPr>
        <w:t>“El Ministerio de Transporte como ente rector del Sector  Transporte en el Estado Colombiano, garantiza el desarrollo y mejoramiento del transporte, tránsito y su infraestructura mediante la formulación y adopción de políticas, planes, programas, proyectos, regulaciones técnicas y económicas y la expedición de autorizaciones que respondan a  necesidades del país y de las partes interesadas en cumplimiento de los requerimientos legales, para lo cual  cuenta con talento humano competente, recursos y procesos definidos para la armonización y articulación de su Sistema de  Gestión Integrado, que contribuyen con el mejoramiento continuo de la entidad en términos de eficac</w:t>
      </w:r>
      <w:r w:rsidR="00906DA1">
        <w:rPr>
          <w:sz w:val="22"/>
        </w:rPr>
        <w:t>ia, eficiencia y efectividad.”</w:t>
      </w:r>
    </w:p>
    <w:p w:rsidR="00906DA1" w:rsidRPr="005F64F1" w:rsidRDefault="00906DA1" w:rsidP="00906DA1">
      <w:pPr>
        <w:spacing w:after="120"/>
        <w:contextualSpacing/>
        <w:rPr>
          <w:sz w:val="22"/>
        </w:rPr>
      </w:pPr>
    </w:p>
    <w:p w:rsidR="005F64F1" w:rsidRPr="005F64F1" w:rsidRDefault="0081342A" w:rsidP="00906DA1">
      <w:pPr>
        <w:spacing w:after="120"/>
        <w:contextualSpacing/>
        <w:rPr>
          <w:sz w:val="22"/>
        </w:rPr>
      </w:pPr>
      <w:r>
        <w:rPr>
          <w:sz w:val="22"/>
          <w:u w:val="single"/>
        </w:rPr>
        <w:t>A</w:t>
      </w:r>
      <w:r w:rsidR="005F64F1" w:rsidRPr="005F64F1">
        <w:rPr>
          <w:sz w:val="22"/>
          <w:u w:val="single"/>
        </w:rPr>
        <w:t>lcance</w:t>
      </w:r>
      <w:r w:rsidR="005F64F1">
        <w:rPr>
          <w:sz w:val="22"/>
        </w:rPr>
        <w:t xml:space="preserve">: </w:t>
      </w:r>
      <w:r w:rsidR="005F64F1" w:rsidRPr="005F64F1">
        <w:rPr>
          <w:sz w:val="22"/>
        </w:rPr>
        <w:t>El Sistema de Gestión Integrado del Ministerio de Transporte, armoniza los requisitos de las Normas NTC-GP 1000, MECI 1000:2014, SG-Seguridad y Salud en el Trabajo y el Modelo Integrado de Planeación y Gestión y las políticas y objetivos definidos para cada uno de estos modelos.</w:t>
      </w:r>
    </w:p>
    <w:p w:rsidR="00906DA1" w:rsidRDefault="00906DA1" w:rsidP="00906DA1">
      <w:pPr>
        <w:contextualSpacing/>
        <w:rPr>
          <w:rFonts w:cs="Arial"/>
          <w:sz w:val="22"/>
          <w:u w:val="single"/>
        </w:rPr>
      </w:pPr>
    </w:p>
    <w:p w:rsidR="0081342A" w:rsidRPr="00B24AA4" w:rsidRDefault="0081342A" w:rsidP="00906DA1">
      <w:pPr>
        <w:contextualSpacing/>
        <w:rPr>
          <w:sz w:val="22"/>
        </w:rPr>
      </w:pPr>
      <w:r w:rsidRPr="0081342A">
        <w:rPr>
          <w:rFonts w:cs="Arial"/>
          <w:sz w:val="22"/>
          <w:u w:val="single"/>
        </w:rPr>
        <w:lastRenderedPageBreak/>
        <w:t>Modelo</w:t>
      </w:r>
      <w:r>
        <w:rPr>
          <w:rFonts w:cs="Arial"/>
          <w:sz w:val="22"/>
          <w:u w:val="single"/>
        </w:rPr>
        <w:t xml:space="preserve"> I</w:t>
      </w:r>
      <w:r w:rsidRPr="0081342A">
        <w:rPr>
          <w:rFonts w:cs="Arial"/>
          <w:sz w:val="22"/>
          <w:u w:val="single"/>
        </w:rPr>
        <w:t xml:space="preserve">ntegrado de </w:t>
      </w:r>
      <w:r>
        <w:rPr>
          <w:rFonts w:cs="Arial"/>
          <w:sz w:val="22"/>
          <w:u w:val="single"/>
        </w:rPr>
        <w:t>P</w:t>
      </w:r>
      <w:r w:rsidRPr="0081342A">
        <w:rPr>
          <w:rFonts w:cs="Arial"/>
          <w:sz w:val="22"/>
          <w:u w:val="single"/>
        </w:rPr>
        <w:t xml:space="preserve">laneación y </w:t>
      </w:r>
      <w:r>
        <w:rPr>
          <w:rFonts w:cs="Arial"/>
          <w:sz w:val="22"/>
          <w:u w:val="single"/>
        </w:rPr>
        <w:t>G</w:t>
      </w:r>
      <w:r w:rsidRPr="0081342A">
        <w:rPr>
          <w:rFonts w:cs="Arial"/>
          <w:sz w:val="22"/>
          <w:u w:val="single"/>
        </w:rPr>
        <w:t>estión</w:t>
      </w:r>
      <w:r>
        <w:rPr>
          <w:rFonts w:cs="Arial"/>
          <w:sz w:val="22"/>
          <w:u w:val="single"/>
        </w:rPr>
        <w:t xml:space="preserve">: </w:t>
      </w:r>
      <w:r w:rsidRPr="00B24AA4">
        <w:rPr>
          <w:sz w:val="22"/>
        </w:rPr>
        <w:t>El Ministerio con Resolución 5029 de 2013 creó el Comité Institucional de Desarrollo Administrativo, que ha venido realizando sus reuniones trimestrales en las cuales revisa lo concerniente a todas las política</w:t>
      </w:r>
      <w:r>
        <w:rPr>
          <w:sz w:val="22"/>
        </w:rPr>
        <w:t xml:space="preserve">s de desarrollo administrativo. </w:t>
      </w:r>
      <w:r w:rsidRPr="00B24AA4">
        <w:rPr>
          <w:sz w:val="22"/>
        </w:rPr>
        <w:t>Así mismo, se elaboró y publicó el Plan Anticorrupción para la vigencia 2016 con todos los componentes que este plan requiere.</w:t>
      </w:r>
    </w:p>
    <w:p w:rsidR="0081342A" w:rsidRPr="00B24AA4" w:rsidRDefault="0081342A" w:rsidP="0081342A">
      <w:pPr>
        <w:rPr>
          <w:sz w:val="22"/>
        </w:rPr>
      </w:pPr>
    </w:p>
    <w:p w:rsidR="0081342A" w:rsidRPr="00B24AA4" w:rsidRDefault="0081342A" w:rsidP="0081342A">
      <w:pPr>
        <w:rPr>
          <w:sz w:val="22"/>
        </w:rPr>
      </w:pPr>
      <w:r w:rsidRPr="00B24AA4">
        <w:rPr>
          <w:sz w:val="22"/>
        </w:rPr>
        <w:t>El Ministerio para el año 2017 presentó la auditoría de renovación de los certificados en las normas NTCGP 1000:2009 e ISO 9001:2008, obteniendo por parte de la firma COTECNA la conformidad de su Sistema de Gestión de la Calidad, manteniendo así los certificados.</w:t>
      </w:r>
    </w:p>
    <w:p w:rsidR="0081342A" w:rsidRPr="00B24AA4" w:rsidRDefault="0081342A" w:rsidP="0081342A">
      <w:pPr>
        <w:rPr>
          <w:sz w:val="22"/>
        </w:rPr>
      </w:pPr>
    </w:p>
    <w:p w:rsidR="005F64F1" w:rsidRPr="00DE2130" w:rsidRDefault="0081342A" w:rsidP="0081342A">
      <w:pPr>
        <w:spacing w:after="120"/>
        <w:rPr>
          <w:sz w:val="22"/>
        </w:rPr>
      </w:pPr>
      <w:r w:rsidRPr="00B24AA4">
        <w:rPr>
          <w:sz w:val="22"/>
        </w:rPr>
        <w:t>Para el año 2018, el Ministerio trabajará para obtener la certificación en la norma ISO 9001:2015</w:t>
      </w:r>
    </w:p>
    <w:p w:rsidR="00017325" w:rsidRPr="007E3988" w:rsidRDefault="00017325" w:rsidP="007F2796">
      <w:pPr>
        <w:rPr>
          <w:rFonts w:cs="Arial"/>
          <w:color w:val="000000" w:themeColor="text1"/>
          <w:sz w:val="22"/>
          <w:lang w:val="es-CO"/>
        </w:rPr>
      </w:pPr>
    </w:p>
    <w:p w:rsidR="005459D8" w:rsidRDefault="003A0158" w:rsidP="00E23017">
      <w:pPr>
        <w:pStyle w:val="Ttulo2"/>
        <w:numPr>
          <w:ilvl w:val="1"/>
          <w:numId w:val="87"/>
        </w:numPr>
      </w:pPr>
      <w:bookmarkStart w:id="202" w:name="_Toc473412388"/>
      <w:bookmarkStart w:id="203" w:name="_Toc473412538"/>
      <w:bookmarkStart w:id="204" w:name="_Toc505003507"/>
      <w:r w:rsidRPr="007E3988">
        <w:t>Rendición de Cuentas</w:t>
      </w:r>
      <w:bookmarkEnd w:id="202"/>
      <w:bookmarkEnd w:id="203"/>
      <w:bookmarkEnd w:id="204"/>
    </w:p>
    <w:p w:rsidR="005459D8" w:rsidRPr="007E3988" w:rsidRDefault="005459D8" w:rsidP="007F2796">
      <w:pPr>
        <w:autoSpaceDE w:val="0"/>
        <w:autoSpaceDN w:val="0"/>
        <w:adjustRightInd w:val="0"/>
        <w:rPr>
          <w:rFonts w:cs="Arial"/>
          <w:sz w:val="22"/>
          <w:lang w:eastAsia="ko-KR"/>
        </w:rPr>
      </w:pPr>
    </w:p>
    <w:p w:rsidR="00371447" w:rsidRDefault="00371447" w:rsidP="00E112A9">
      <w:pPr>
        <w:rPr>
          <w:u w:val="single"/>
          <w:lang w:val="es-ES_tradnl"/>
        </w:rPr>
      </w:pPr>
      <w:bookmarkStart w:id="205" w:name="_Toc410332714"/>
      <w:bookmarkStart w:id="206" w:name="_Toc473412389"/>
      <w:bookmarkStart w:id="207" w:name="_Toc473412539"/>
      <w:r w:rsidRPr="00410CA8">
        <w:rPr>
          <w:u w:val="single"/>
          <w:lang w:val="es-ES_tradnl"/>
        </w:rPr>
        <w:t>Componente INFORMACIÓN – Tema PRENSA Y COMUNICACIONES</w:t>
      </w:r>
      <w:bookmarkEnd w:id="205"/>
      <w:bookmarkEnd w:id="206"/>
      <w:bookmarkEnd w:id="207"/>
      <w:r w:rsidR="00410CA8">
        <w:rPr>
          <w:u w:val="single"/>
          <w:lang w:val="es-ES_tradnl"/>
        </w:rPr>
        <w:t>:</w:t>
      </w:r>
    </w:p>
    <w:p w:rsidR="005C124B" w:rsidRPr="00410CA8" w:rsidRDefault="005C124B" w:rsidP="00E112A9">
      <w:pPr>
        <w:rPr>
          <w:u w:val="single"/>
          <w:lang w:val="es-ES_tradnl"/>
        </w:rPr>
      </w:pPr>
    </w:p>
    <w:p w:rsidR="00357A02" w:rsidRPr="00357A02" w:rsidRDefault="003126BF" w:rsidP="00357A02">
      <w:pPr>
        <w:pStyle w:val="Normal1"/>
        <w:spacing w:line="360" w:lineRule="auto"/>
        <w:ind w:left="0" w:firstLine="0"/>
        <w:contextualSpacing/>
        <w:rPr>
          <w:rFonts w:ascii="Arial" w:eastAsia="Times New Roman" w:hAnsi="Arial" w:cs="Arial"/>
          <w:b/>
        </w:rPr>
      </w:pPr>
      <w:r w:rsidRPr="00357A02">
        <w:rPr>
          <w:rFonts w:ascii="Arial" w:eastAsia="Times New Roman" w:hAnsi="Arial" w:cs="Arial"/>
          <w:b/>
        </w:rPr>
        <w:t xml:space="preserve">Comunicación </w:t>
      </w:r>
      <w:r w:rsidR="005C124B" w:rsidRPr="00357A02">
        <w:rPr>
          <w:rFonts w:ascii="Arial" w:eastAsia="Times New Roman" w:hAnsi="Arial" w:cs="Arial"/>
          <w:b/>
        </w:rPr>
        <w:t>E</w:t>
      </w:r>
      <w:r w:rsidRPr="00357A02">
        <w:rPr>
          <w:rFonts w:ascii="Arial" w:eastAsia="Times New Roman" w:hAnsi="Arial" w:cs="Arial"/>
          <w:b/>
        </w:rPr>
        <w:t>xterna</w:t>
      </w:r>
    </w:p>
    <w:p w:rsidR="00371447" w:rsidRPr="00357A02" w:rsidRDefault="00357A02" w:rsidP="00357A02">
      <w:pPr>
        <w:pStyle w:val="Normal1"/>
        <w:spacing w:line="360" w:lineRule="auto"/>
        <w:ind w:left="0" w:firstLine="0"/>
        <w:contextualSpacing/>
        <w:rPr>
          <w:rFonts w:ascii="Arial" w:eastAsia="Times New Roman" w:hAnsi="Arial" w:cs="Arial"/>
        </w:rPr>
      </w:pPr>
      <w:r>
        <w:rPr>
          <w:rFonts w:ascii="Arial" w:eastAsia="Times New Roman" w:hAnsi="Arial" w:cs="Arial"/>
        </w:rPr>
        <w:t>L</w:t>
      </w:r>
      <w:r w:rsidR="003126BF" w:rsidRPr="00357A02">
        <w:rPr>
          <w:rFonts w:ascii="Arial" w:eastAsia="Times New Roman" w:hAnsi="Arial" w:cs="Arial"/>
        </w:rPr>
        <w:t xml:space="preserve">as noticias que han sido publicadas en la página </w:t>
      </w:r>
      <w:hyperlink r:id="rId36" w:history="1">
        <w:r w:rsidR="002E3558" w:rsidRPr="004D69C5">
          <w:rPr>
            <w:rStyle w:val="Hipervnculo"/>
            <w:rFonts w:ascii="Arial" w:eastAsia="Times New Roman" w:hAnsi="Arial" w:cs="Arial"/>
          </w:rPr>
          <w:t>www.mintransporte.gov.co</w:t>
        </w:r>
      </w:hyperlink>
      <w:r w:rsidR="003126BF" w:rsidRPr="00357A02">
        <w:rPr>
          <w:rFonts w:ascii="Arial" w:eastAsia="Times New Roman" w:hAnsi="Arial" w:cs="Arial"/>
        </w:rPr>
        <w:t>,</w:t>
      </w:r>
      <w:r w:rsidR="002E3558">
        <w:rPr>
          <w:rFonts w:ascii="Arial" w:eastAsia="Times New Roman" w:hAnsi="Arial" w:cs="Arial"/>
        </w:rPr>
        <w:t xml:space="preserve"> </w:t>
      </w:r>
      <w:r w:rsidR="003126BF" w:rsidRPr="00357A02">
        <w:rPr>
          <w:rFonts w:ascii="Arial" w:eastAsia="Times New Roman" w:hAnsi="Arial" w:cs="Arial"/>
        </w:rPr>
        <w:t>dan a conocer el desarrollo de las políticas, planes, programas y proyectos que se ejecutan en el Ministerio de Transporte</w:t>
      </w:r>
      <w:r w:rsidR="002E3558">
        <w:rPr>
          <w:rFonts w:ascii="Arial" w:eastAsia="Times New Roman" w:hAnsi="Arial" w:cs="Arial"/>
        </w:rPr>
        <w:t>.</w:t>
      </w:r>
    </w:p>
    <w:p w:rsidR="00641EF2" w:rsidRPr="00641EF2" w:rsidRDefault="00641EF2" w:rsidP="00310376">
      <w:pPr>
        <w:pStyle w:val="Normal1"/>
        <w:ind w:left="0" w:firstLine="0"/>
        <w:rPr>
          <w:rFonts w:eastAsia="Times New Roman"/>
        </w:rPr>
      </w:pPr>
    </w:p>
    <w:p w:rsidR="003126BF" w:rsidRPr="000E0BC8" w:rsidRDefault="003126BF" w:rsidP="000E0BC8">
      <w:pPr>
        <w:pStyle w:val="Normal1"/>
        <w:spacing w:line="360" w:lineRule="auto"/>
        <w:ind w:left="0" w:firstLine="0"/>
        <w:contextualSpacing/>
        <w:rPr>
          <w:rFonts w:ascii="Arial" w:eastAsia="Times New Roman" w:hAnsi="Arial" w:cs="Arial"/>
        </w:rPr>
      </w:pPr>
      <w:bookmarkStart w:id="208" w:name="_Toc410332725"/>
      <w:r w:rsidRPr="000E0BC8">
        <w:rPr>
          <w:rFonts w:ascii="Arial" w:eastAsia="Times New Roman" w:hAnsi="Arial" w:cs="Arial"/>
          <w:b/>
        </w:rPr>
        <w:t>Comunicados</w:t>
      </w:r>
      <w:r w:rsidRPr="000E0BC8">
        <w:rPr>
          <w:rFonts w:ascii="Arial" w:eastAsia="Times New Roman" w:hAnsi="Arial" w:cs="Arial"/>
        </w:rPr>
        <w:t>: La página web del Ministerio de Transporte tiene a disposición de la ciudadanía cerca de 540 comunicados producidos y puede acceder a través del siguiente enlace (</w:t>
      </w:r>
      <w:hyperlink r:id="rId37" w:history="1">
        <w:r w:rsidR="00F723CE" w:rsidRPr="000E0BC8">
          <w:rPr>
            <w:rStyle w:val="Hipervnculo"/>
            <w:rFonts w:ascii="Arial" w:eastAsia="Times New Roman" w:hAnsi="Arial" w:cs="Arial"/>
            <w:bCs/>
          </w:rPr>
          <w:t>https://www.mintransporte.gov.co/Publicaciones/Tema/Noticias</w:t>
        </w:r>
      </w:hyperlink>
      <w:r w:rsidRPr="000E0BC8">
        <w:rPr>
          <w:rFonts w:ascii="Arial" w:eastAsia="Times New Roman" w:hAnsi="Arial" w:cs="Arial"/>
        </w:rPr>
        <w:t>)</w:t>
      </w:r>
      <w:r w:rsidR="00F723CE" w:rsidRPr="000E0BC8">
        <w:rPr>
          <w:rFonts w:ascii="Arial" w:eastAsia="Times New Roman" w:hAnsi="Arial" w:cs="Arial"/>
        </w:rPr>
        <w:t>. Estos comunicados son de igual forma enviados a la base de datos de periodistas que cubren la fuente en todo el país, cerca de 3.500 comunicadores que cubren la fuente.</w:t>
      </w:r>
    </w:p>
    <w:p w:rsidR="00F723CE" w:rsidRPr="00F723CE" w:rsidRDefault="00F723CE" w:rsidP="00F723CE">
      <w:pPr>
        <w:spacing w:after="120"/>
        <w:outlineLvl w:val="1"/>
        <w:rPr>
          <w:rFonts w:eastAsia="Times New Roman" w:cs="Arial"/>
          <w:bCs/>
          <w:sz w:val="22"/>
          <w:lang w:val="es-ES_tradnl"/>
        </w:rPr>
      </w:pPr>
    </w:p>
    <w:p w:rsidR="003126BF" w:rsidRDefault="00F723CE" w:rsidP="00F723CE">
      <w:pPr>
        <w:rPr>
          <w:rFonts w:cs="Arial"/>
          <w:sz w:val="22"/>
        </w:rPr>
      </w:pPr>
      <w:r w:rsidRPr="00F723CE">
        <w:rPr>
          <w:rFonts w:cs="Arial"/>
          <w:b/>
          <w:sz w:val="22"/>
        </w:rPr>
        <w:t>Redes sociales</w:t>
      </w:r>
      <w:r>
        <w:rPr>
          <w:rFonts w:cs="Arial"/>
          <w:sz w:val="22"/>
        </w:rPr>
        <w:t xml:space="preserve">: </w:t>
      </w:r>
      <w:r w:rsidRPr="00FF5D41">
        <w:rPr>
          <w:rFonts w:cs="Arial"/>
          <w:sz w:val="22"/>
        </w:rPr>
        <w:t xml:space="preserve">En la página </w:t>
      </w:r>
      <w:hyperlink r:id="rId38" w:history="1">
        <w:r w:rsidRPr="00FF5D41">
          <w:rPr>
            <w:rStyle w:val="Hipervnculo"/>
            <w:rFonts w:cs="Arial"/>
            <w:sz w:val="22"/>
          </w:rPr>
          <w:t>www.mintransporte.gov.co</w:t>
        </w:r>
      </w:hyperlink>
      <w:r w:rsidRPr="00FF5D41">
        <w:rPr>
          <w:rFonts w:cs="Arial"/>
          <w:sz w:val="22"/>
        </w:rPr>
        <w:t xml:space="preserve"> se encuentran las redes sociales de </w:t>
      </w:r>
      <w:r w:rsidRPr="00FF5D41">
        <w:rPr>
          <w:rFonts w:cs="Arial"/>
          <w:b/>
          <w:sz w:val="22"/>
        </w:rPr>
        <w:t xml:space="preserve">FACEBOOK, TWITTER, YOUTUBE, </w:t>
      </w:r>
      <w:r w:rsidRPr="00FF5D41">
        <w:rPr>
          <w:rFonts w:cs="Arial"/>
          <w:sz w:val="22"/>
        </w:rPr>
        <w:t>allí se divulgan las actividades que realiza el Ministerio de Transporte</w:t>
      </w:r>
      <w:r>
        <w:rPr>
          <w:rFonts w:cs="Arial"/>
          <w:sz w:val="22"/>
        </w:rPr>
        <w:t>.</w:t>
      </w:r>
    </w:p>
    <w:p w:rsidR="00F723CE" w:rsidRDefault="00F723CE" w:rsidP="00F723CE">
      <w:pPr>
        <w:rPr>
          <w:rFonts w:cs="Arial"/>
          <w:sz w:val="22"/>
        </w:rPr>
      </w:pPr>
    </w:p>
    <w:p w:rsidR="00F723CE" w:rsidRPr="00FF5D41" w:rsidRDefault="00F723CE" w:rsidP="00F723CE">
      <w:pPr>
        <w:rPr>
          <w:rFonts w:cs="Arial"/>
          <w:sz w:val="22"/>
        </w:rPr>
      </w:pPr>
      <w:r w:rsidRPr="00566FCE">
        <w:rPr>
          <w:rFonts w:cs="Arial"/>
          <w:b/>
          <w:sz w:val="18"/>
        </w:rPr>
        <w:lastRenderedPageBreak/>
        <w:t>FACEBOOK:</w:t>
      </w:r>
      <w:r w:rsidRPr="00F723CE">
        <w:rPr>
          <w:rFonts w:cs="Arial"/>
          <w:sz w:val="22"/>
        </w:rPr>
        <w:t xml:space="preserve"> </w:t>
      </w:r>
      <w:r w:rsidR="002E3558">
        <w:rPr>
          <w:rFonts w:cs="Arial"/>
          <w:sz w:val="22"/>
        </w:rPr>
        <w:t>A la fecha c</w:t>
      </w:r>
      <w:r w:rsidRPr="00FF5D41">
        <w:rPr>
          <w:rFonts w:cs="Arial"/>
          <w:sz w:val="22"/>
        </w:rPr>
        <w:t xml:space="preserve">uenta con </w:t>
      </w:r>
      <w:r w:rsidR="002E3558">
        <w:rPr>
          <w:rFonts w:cs="Arial"/>
          <w:sz w:val="22"/>
        </w:rPr>
        <w:t>33</w:t>
      </w:r>
      <w:r w:rsidRPr="00F723CE">
        <w:rPr>
          <w:rFonts w:cs="Arial"/>
          <w:sz w:val="22"/>
        </w:rPr>
        <w:t>.</w:t>
      </w:r>
      <w:r w:rsidR="002E3558">
        <w:rPr>
          <w:rFonts w:cs="Arial"/>
          <w:sz w:val="22"/>
        </w:rPr>
        <w:t>386</w:t>
      </w:r>
      <w:r w:rsidRPr="00FF5D41">
        <w:rPr>
          <w:rFonts w:cs="Arial"/>
          <w:sz w:val="22"/>
        </w:rPr>
        <w:t xml:space="preserve"> seguidores. </w:t>
      </w:r>
      <w:hyperlink r:id="rId39" w:history="1">
        <w:r w:rsidRPr="00873B27">
          <w:rPr>
            <w:rStyle w:val="Hipervnculo"/>
            <w:rFonts w:cs="Arial"/>
            <w:sz w:val="22"/>
          </w:rPr>
          <w:t>https://www.facebook.com/MintransporteColombiaoficial</w:t>
        </w:r>
      </w:hyperlink>
    </w:p>
    <w:p w:rsidR="00F723CE" w:rsidRDefault="00F723CE" w:rsidP="00F723CE">
      <w:pPr>
        <w:rPr>
          <w:rFonts w:eastAsia="Times New Roman" w:cs="Arial"/>
          <w:bCs/>
          <w:sz w:val="22"/>
          <w:u w:val="single"/>
          <w:lang w:val="es-ES_tradnl"/>
        </w:rPr>
      </w:pPr>
    </w:p>
    <w:p w:rsidR="00F723CE" w:rsidRPr="00FF5D41" w:rsidRDefault="00F723CE" w:rsidP="00F723CE">
      <w:pPr>
        <w:rPr>
          <w:rFonts w:cs="Arial"/>
          <w:sz w:val="22"/>
        </w:rPr>
      </w:pPr>
      <w:r w:rsidRPr="00566FCE">
        <w:rPr>
          <w:rFonts w:cs="Arial"/>
          <w:b/>
          <w:sz w:val="18"/>
        </w:rPr>
        <w:t>TWITTER:</w:t>
      </w:r>
      <w:r w:rsidRPr="00F723CE">
        <w:rPr>
          <w:rFonts w:cs="Arial"/>
          <w:sz w:val="22"/>
        </w:rPr>
        <w:t xml:space="preserve"> C</w:t>
      </w:r>
      <w:r w:rsidRPr="00FF5D41">
        <w:rPr>
          <w:rFonts w:cs="Arial"/>
          <w:sz w:val="22"/>
        </w:rPr>
        <w:t>uenta con</w:t>
      </w:r>
      <w:r w:rsidRPr="00FF5D41">
        <w:rPr>
          <w:rFonts w:cs="Arial"/>
          <w:b/>
          <w:sz w:val="22"/>
        </w:rPr>
        <w:t xml:space="preserve"> </w:t>
      </w:r>
      <w:r w:rsidRPr="00F723CE">
        <w:rPr>
          <w:rFonts w:cs="Arial"/>
          <w:sz w:val="22"/>
        </w:rPr>
        <w:t>185.715</w:t>
      </w:r>
      <w:r w:rsidRPr="00FF5D41">
        <w:rPr>
          <w:rFonts w:cs="Arial"/>
          <w:sz w:val="22"/>
        </w:rPr>
        <w:t xml:space="preserve"> seguidores. </w:t>
      </w:r>
      <w:hyperlink r:id="rId40" w:history="1">
        <w:r w:rsidRPr="00FF5D41">
          <w:rPr>
            <w:rStyle w:val="Hipervnculo"/>
            <w:rFonts w:cs="Arial"/>
            <w:sz w:val="22"/>
          </w:rPr>
          <w:t>https://twitter.com/MinTransporteCo</w:t>
        </w:r>
      </w:hyperlink>
      <w:r w:rsidRPr="00FF5D41">
        <w:rPr>
          <w:rFonts w:cs="Arial"/>
          <w:sz w:val="22"/>
        </w:rPr>
        <w:t xml:space="preserve"> </w:t>
      </w:r>
    </w:p>
    <w:p w:rsidR="00E3549C" w:rsidRDefault="00E3549C" w:rsidP="00E3549C">
      <w:pPr>
        <w:rPr>
          <w:rFonts w:cs="Arial"/>
          <w:b/>
          <w:sz w:val="22"/>
        </w:rPr>
      </w:pPr>
    </w:p>
    <w:p w:rsidR="00F723CE" w:rsidRPr="00E3549C" w:rsidRDefault="00E3549C" w:rsidP="00E3549C">
      <w:pPr>
        <w:rPr>
          <w:rFonts w:cs="Arial"/>
          <w:sz w:val="22"/>
        </w:rPr>
      </w:pPr>
      <w:r w:rsidRPr="00566FCE">
        <w:rPr>
          <w:rFonts w:cs="Arial"/>
          <w:b/>
          <w:sz w:val="18"/>
        </w:rPr>
        <w:t>YOUTUBE</w:t>
      </w:r>
      <w:r w:rsidRPr="00566FCE">
        <w:rPr>
          <w:rFonts w:cs="Arial"/>
          <w:sz w:val="18"/>
        </w:rPr>
        <w:t>:</w:t>
      </w:r>
      <w:r>
        <w:rPr>
          <w:rFonts w:cs="Arial"/>
          <w:sz w:val="22"/>
        </w:rPr>
        <w:t xml:space="preserve"> </w:t>
      </w:r>
      <w:r w:rsidRPr="00FF5D41">
        <w:rPr>
          <w:rFonts w:cs="Arial"/>
          <w:sz w:val="22"/>
        </w:rPr>
        <w:t xml:space="preserve">Los </w:t>
      </w:r>
      <w:r w:rsidR="002E3558">
        <w:rPr>
          <w:rFonts w:cs="Arial"/>
          <w:sz w:val="22"/>
        </w:rPr>
        <w:t xml:space="preserve">767 </w:t>
      </w:r>
      <w:r w:rsidRPr="00FF5D41">
        <w:rPr>
          <w:rFonts w:cs="Arial"/>
          <w:sz w:val="22"/>
        </w:rPr>
        <w:t>videos disponibles en la página, han tenido 1</w:t>
      </w:r>
      <w:r w:rsidR="002E3558">
        <w:rPr>
          <w:rFonts w:cs="Arial"/>
          <w:sz w:val="22"/>
        </w:rPr>
        <w:t>46</w:t>
      </w:r>
      <w:r w:rsidRPr="00FF5D41">
        <w:rPr>
          <w:rFonts w:cs="Arial"/>
          <w:sz w:val="22"/>
        </w:rPr>
        <w:t>.</w:t>
      </w:r>
      <w:r w:rsidR="002E3558">
        <w:rPr>
          <w:rFonts w:cs="Arial"/>
          <w:sz w:val="22"/>
        </w:rPr>
        <w:t>937</w:t>
      </w:r>
      <w:r w:rsidRPr="00FF5D41">
        <w:rPr>
          <w:rFonts w:cs="Arial"/>
          <w:sz w:val="22"/>
        </w:rPr>
        <w:t xml:space="preserve"> reproducciones. En 2017 se han producido </w:t>
      </w:r>
      <w:r w:rsidR="002E3558">
        <w:rPr>
          <w:rFonts w:cs="Arial"/>
          <w:sz w:val="22"/>
        </w:rPr>
        <w:t>46</w:t>
      </w:r>
      <w:r w:rsidRPr="00FF5D41">
        <w:rPr>
          <w:rFonts w:cs="Arial"/>
          <w:sz w:val="22"/>
        </w:rPr>
        <w:t xml:space="preserve">  videos y están disponibles en el siguiente link: </w:t>
      </w:r>
      <w:hyperlink r:id="rId41" w:history="1">
        <w:r w:rsidRPr="00FF5D41">
          <w:rPr>
            <w:rStyle w:val="Hipervnculo"/>
            <w:rFonts w:cs="Arial"/>
            <w:sz w:val="22"/>
          </w:rPr>
          <w:t>https://www.youtube.com/user/Mintransporte/videos</w:t>
        </w:r>
      </w:hyperlink>
      <w:r>
        <w:rPr>
          <w:rFonts w:cs="Arial"/>
          <w:sz w:val="22"/>
        </w:rPr>
        <w:t xml:space="preserve">. </w:t>
      </w:r>
      <w:r w:rsidRPr="00FF5D41">
        <w:rPr>
          <w:rFonts w:cs="Arial"/>
          <w:sz w:val="22"/>
        </w:rPr>
        <w:t xml:space="preserve">Vale la pena destacar que se cuenta con </w:t>
      </w:r>
      <w:r w:rsidR="002E3558">
        <w:rPr>
          <w:rFonts w:cs="Arial"/>
          <w:sz w:val="22"/>
        </w:rPr>
        <w:t>2.544</w:t>
      </w:r>
      <w:r w:rsidRPr="00FF5D41">
        <w:rPr>
          <w:rFonts w:cs="Arial"/>
          <w:sz w:val="22"/>
        </w:rPr>
        <w:t xml:space="preserve"> suscriptores</w:t>
      </w:r>
    </w:p>
    <w:p w:rsidR="00F723CE" w:rsidRDefault="00F723CE" w:rsidP="00F723CE">
      <w:pPr>
        <w:rPr>
          <w:rFonts w:eastAsia="Times New Roman" w:cs="Arial"/>
          <w:bCs/>
          <w:sz w:val="22"/>
          <w:u w:val="single"/>
          <w:lang w:val="es-ES_tradnl"/>
        </w:rPr>
      </w:pPr>
    </w:p>
    <w:p w:rsidR="00E3549C" w:rsidRPr="00FF5D41" w:rsidRDefault="00E3549C" w:rsidP="00E3549C">
      <w:pPr>
        <w:rPr>
          <w:rStyle w:val="Hipervnculo"/>
          <w:rFonts w:cs="Arial"/>
          <w:sz w:val="22"/>
        </w:rPr>
      </w:pPr>
      <w:r w:rsidRPr="00566FCE">
        <w:rPr>
          <w:rFonts w:cs="Arial"/>
          <w:b/>
          <w:sz w:val="18"/>
        </w:rPr>
        <w:t>FLICKR:</w:t>
      </w:r>
      <w:r>
        <w:rPr>
          <w:rFonts w:cs="Arial"/>
          <w:b/>
          <w:sz w:val="22"/>
        </w:rPr>
        <w:t xml:space="preserve"> </w:t>
      </w:r>
      <w:r w:rsidRPr="00FF5D41">
        <w:rPr>
          <w:rFonts w:cs="Arial"/>
          <w:sz w:val="22"/>
        </w:rPr>
        <w:t xml:space="preserve">La aplicación, cuenta con </w:t>
      </w:r>
      <w:r w:rsidR="002C367E">
        <w:rPr>
          <w:rFonts w:cs="Arial"/>
          <w:sz w:val="22"/>
        </w:rPr>
        <w:t>8</w:t>
      </w:r>
      <w:r w:rsidRPr="00E3549C">
        <w:rPr>
          <w:rFonts w:cs="Arial"/>
          <w:sz w:val="22"/>
        </w:rPr>
        <w:t>.</w:t>
      </w:r>
      <w:r w:rsidR="002C367E">
        <w:rPr>
          <w:rFonts w:cs="Arial"/>
          <w:sz w:val="22"/>
        </w:rPr>
        <w:t>170</w:t>
      </w:r>
      <w:r w:rsidRPr="00FF5D41">
        <w:rPr>
          <w:rFonts w:cs="Arial"/>
          <w:b/>
          <w:sz w:val="22"/>
        </w:rPr>
        <w:t xml:space="preserve"> </w:t>
      </w:r>
      <w:r w:rsidRPr="00FF5D41">
        <w:rPr>
          <w:rFonts w:cs="Arial"/>
          <w:sz w:val="22"/>
        </w:rPr>
        <w:t xml:space="preserve">fotografías. </w:t>
      </w:r>
      <w:hyperlink r:id="rId42" w:history="1">
        <w:r w:rsidRPr="00FF5D41">
          <w:rPr>
            <w:rStyle w:val="Hipervnculo"/>
            <w:rFonts w:cs="Arial"/>
            <w:sz w:val="22"/>
          </w:rPr>
          <w:t>https://www.flickr.com/photos/mintransporteco/</w:t>
        </w:r>
      </w:hyperlink>
    </w:p>
    <w:p w:rsidR="00E3549C" w:rsidRPr="002C367E" w:rsidRDefault="00E3549C" w:rsidP="00F723CE">
      <w:pPr>
        <w:rPr>
          <w:rFonts w:eastAsia="Times New Roman" w:cs="Arial"/>
          <w:bCs/>
          <w:sz w:val="22"/>
          <w:lang w:val="es-ES_tradnl"/>
        </w:rPr>
      </w:pPr>
    </w:p>
    <w:p w:rsidR="002C367E" w:rsidRPr="002C367E" w:rsidRDefault="002C367E" w:rsidP="00F723CE">
      <w:pPr>
        <w:rPr>
          <w:rFonts w:eastAsia="Times New Roman" w:cs="Arial"/>
          <w:bCs/>
          <w:sz w:val="22"/>
          <w:lang w:val="es-ES_tradnl"/>
        </w:rPr>
      </w:pPr>
      <w:r w:rsidRPr="002C367E">
        <w:rPr>
          <w:rFonts w:eastAsia="Times New Roman" w:cs="Arial"/>
          <w:b/>
          <w:bCs/>
          <w:sz w:val="18"/>
          <w:lang w:val="es-ES_tradnl"/>
        </w:rPr>
        <w:t>INSTAGRAM</w:t>
      </w:r>
      <w:r>
        <w:rPr>
          <w:rFonts w:eastAsia="Times New Roman" w:cs="Arial"/>
          <w:bCs/>
          <w:sz w:val="22"/>
          <w:lang w:val="es-ES_tradnl"/>
        </w:rPr>
        <w:t xml:space="preserve">: La aplicación cuenta con 5.581 seguidores. </w:t>
      </w:r>
      <w:hyperlink r:id="rId43" w:history="1">
        <w:r w:rsidRPr="004C2B03">
          <w:rPr>
            <w:rStyle w:val="Hipervnculo"/>
          </w:rPr>
          <w:t>https://www.instagram.com/mintransporteco/</w:t>
        </w:r>
      </w:hyperlink>
    </w:p>
    <w:p w:rsidR="002C367E" w:rsidRDefault="002C367E" w:rsidP="00566FCE">
      <w:pPr>
        <w:rPr>
          <w:rFonts w:cs="Arial"/>
          <w:b/>
          <w:sz w:val="18"/>
        </w:rPr>
      </w:pPr>
    </w:p>
    <w:p w:rsidR="00566FCE" w:rsidRPr="00566FCE" w:rsidRDefault="00566FCE" w:rsidP="00566FCE">
      <w:pPr>
        <w:rPr>
          <w:rFonts w:cs="Arial"/>
          <w:b/>
          <w:sz w:val="18"/>
        </w:rPr>
      </w:pPr>
      <w:r w:rsidRPr="00566FCE">
        <w:rPr>
          <w:rFonts w:cs="Arial"/>
          <w:b/>
          <w:sz w:val="18"/>
        </w:rPr>
        <w:t>CHAT DE WHATSSAP</w:t>
      </w:r>
      <w:r>
        <w:rPr>
          <w:rFonts w:cs="Arial"/>
          <w:sz w:val="22"/>
        </w:rPr>
        <w:t xml:space="preserve">: </w:t>
      </w:r>
      <w:r w:rsidRPr="00FF5D41">
        <w:rPr>
          <w:rFonts w:cs="Arial"/>
          <w:sz w:val="22"/>
        </w:rPr>
        <w:t xml:space="preserve">Con el propósito de mantener relación directa con los medios de comunicación hemos creado un grupo de periodistas que cubren el Sector y por este medio damos a conocer también actividades, eventos y notas de interés. </w:t>
      </w:r>
      <w:r w:rsidR="002C367E">
        <w:rPr>
          <w:rFonts w:cs="Arial"/>
          <w:sz w:val="22"/>
        </w:rPr>
        <w:t>A la fecha son 68 periodistas de los diferentes medios de comunicación</w:t>
      </w:r>
      <w:r w:rsidRPr="00FF5D41">
        <w:rPr>
          <w:rFonts w:cs="Arial"/>
          <w:sz w:val="22"/>
        </w:rPr>
        <w:t>.</w:t>
      </w:r>
    </w:p>
    <w:p w:rsidR="00E3549C" w:rsidRDefault="00E3549C" w:rsidP="00F723CE">
      <w:pPr>
        <w:rPr>
          <w:rFonts w:eastAsia="Times New Roman" w:cs="Arial"/>
          <w:bCs/>
          <w:sz w:val="22"/>
          <w:u w:val="single"/>
          <w:lang w:val="es-ES_tradnl"/>
        </w:rPr>
      </w:pPr>
    </w:p>
    <w:p w:rsidR="005C124B" w:rsidRDefault="005C124B" w:rsidP="00F723CE">
      <w:pPr>
        <w:rPr>
          <w:rFonts w:eastAsia="Times New Roman" w:cs="Arial"/>
          <w:bCs/>
          <w:sz w:val="22"/>
          <w:u w:val="single"/>
          <w:lang w:val="es-ES_tradnl"/>
        </w:rPr>
      </w:pPr>
      <w:r w:rsidRPr="003126BF">
        <w:rPr>
          <w:rFonts w:eastAsia="Times New Roman" w:cs="Arial"/>
          <w:b/>
          <w:bCs/>
          <w:sz w:val="22"/>
          <w:lang w:val="es-ES_tradnl"/>
        </w:rPr>
        <w:t>Comunicación</w:t>
      </w:r>
      <w:r>
        <w:rPr>
          <w:rFonts w:eastAsia="Times New Roman" w:cs="Arial"/>
          <w:b/>
          <w:bCs/>
          <w:sz w:val="22"/>
          <w:lang w:val="es-ES_tradnl"/>
        </w:rPr>
        <w:t xml:space="preserve"> In</w:t>
      </w:r>
      <w:r w:rsidRPr="003126BF">
        <w:rPr>
          <w:rFonts w:eastAsia="Times New Roman" w:cs="Arial"/>
          <w:b/>
          <w:bCs/>
          <w:sz w:val="22"/>
          <w:lang w:val="es-ES_tradnl"/>
        </w:rPr>
        <w:t>terna</w:t>
      </w:r>
    </w:p>
    <w:p w:rsidR="00F723CE" w:rsidRDefault="00F723CE" w:rsidP="00F723CE">
      <w:pPr>
        <w:rPr>
          <w:rFonts w:eastAsia="Times New Roman" w:cs="Arial"/>
          <w:bCs/>
          <w:sz w:val="22"/>
          <w:u w:val="single"/>
          <w:lang w:val="es-ES_tradnl"/>
        </w:rPr>
      </w:pPr>
    </w:p>
    <w:p w:rsidR="005C124B" w:rsidRPr="00B54957" w:rsidRDefault="005C124B" w:rsidP="005C124B">
      <w:pPr>
        <w:rPr>
          <w:rFonts w:cs="Arial"/>
          <w:sz w:val="22"/>
        </w:rPr>
      </w:pPr>
      <w:r w:rsidRPr="00B54957">
        <w:rPr>
          <w:rFonts w:cs="Arial"/>
          <w:b/>
          <w:sz w:val="18"/>
        </w:rPr>
        <w:t>FLASH INFORMATIVOS</w:t>
      </w:r>
      <w:r w:rsidR="00B54957">
        <w:rPr>
          <w:rFonts w:cs="Arial"/>
          <w:sz w:val="22"/>
        </w:rPr>
        <w:t xml:space="preserve">: </w:t>
      </w:r>
      <w:r w:rsidRPr="00FF5D41">
        <w:rPr>
          <w:rFonts w:cs="Arial"/>
          <w:sz w:val="22"/>
        </w:rPr>
        <w:t xml:space="preserve">A través del correo institucional </w:t>
      </w:r>
      <w:hyperlink r:id="rId44" w:history="1">
        <w:r w:rsidRPr="00B54957">
          <w:rPr>
            <w:rStyle w:val="Hipervnculo"/>
            <w:rFonts w:cs="Arial"/>
            <w:sz w:val="22"/>
          </w:rPr>
          <w:t>comunicacioninterna@mintransporte.gov.co</w:t>
        </w:r>
      </w:hyperlink>
      <w:r w:rsidRPr="00FF5D41">
        <w:rPr>
          <w:rFonts w:cs="Arial"/>
          <w:b/>
          <w:sz w:val="22"/>
        </w:rPr>
        <w:t xml:space="preserve"> </w:t>
      </w:r>
      <w:r w:rsidRPr="00FF5D41">
        <w:rPr>
          <w:rFonts w:cs="Arial"/>
          <w:sz w:val="22"/>
        </w:rPr>
        <w:t>se informa de las actividades que se desarrollan al interior de la Entidad</w:t>
      </w:r>
      <w:r w:rsidR="00B54957">
        <w:rPr>
          <w:rFonts w:cs="Arial"/>
          <w:sz w:val="22"/>
        </w:rPr>
        <w:t>.</w:t>
      </w:r>
    </w:p>
    <w:p w:rsidR="005C124B" w:rsidRDefault="005C124B" w:rsidP="00F723CE">
      <w:pPr>
        <w:rPr>
          <w:rFonts w:eastAsia="Times New Roman" w:cs="Arial"/>
          <w:bCs/>
          <w:sz w:val="22"/>
          <w:u w:val="single"/>
          <w:lang w:val="es-ES_tradnl"/>
        </w:rPr>
      </w:pPr>
    </w:p>
    <w:p w:rsidR="005762BF" w:rsidRDefault="005762BF" w:rsidP="005762BF">
      <w:pPr>
        <w:rPr>
          <w:rFonts w:cs="Arial"/>
          <w:sz w:val="22"/>
        </w:rPr>
      </w:pPr>
      <w:r w:rsidRPr="005762BF">
        <w:rPr>
          <w:rFonts w:cs="Arial"/>
          <w:b/>
          <w:sz w:val="18"/>
        </w:rPr>
        <w:t>RESUMEN DE NOTICIAS</w:t>
      </w:r>
      <w:r>
        <w:rPr>
          <w:rFonts w:cs="Arial"/>
          <w:sz w:val="22"/>
        </w:rPr>
        <w:t xml:space="preserve">: </w:t>
      </w:r>
      <w:r w:rsidRPr="00FF5D41">
        <w:rPr>
          <w:rFonts w:cs="Arial"/>
          <w:sz w:val="22"/>
        </w:rPr>
        <w:t>Diariamente se recibe el monitoreo de las noticias registradas de la Entidad y el Sector por los diferentes medios de comunicación a nivel nacional.</w:t>
      </w:r>
      <w:r>
        <w:rPr>
          <w:rFonts w:cs="Arial"/>
          <w:sz w:val="22"/>
        </w:rPr>
        <w:t xml:space="preserve"> </w:t>
      </w:r>
      <w:r w:rsidRPr="00FF5D41">
        <w:rPr>
          <w:rFonts w:cs="Arial"/>
          <w:sz w:val="22"/>
        </w:rPr>
        <w:t>En  2017 han sido registradas ce</w:t>
      </w:r>
      <w:r w:rsidR="002C367E">
        <w:rPr>
          <w:rFonts w:cs="Arial"/>
          <w:sz w:val="22"/>
        </w:rPr>
        <w:t>r</w:t>
      </w:r>
      <w:r w:rsidRPr="00FF5D41">
        <w:rPr>
          <w:rFonts w:cs="Arial"/>
          <w:sz w:val="22"/>
        </w:rPr>
        <w:t>ca de 20.000.000 noticias</w:t>
      </w:r>
      <w:r>
        <w:rPr>
          <w:rFonts w:cs="Arial"/>
          <w:sz w:val="22"/>
        </w:rPr>
        <w:t>.</w:t>
      </w:r>
    </w:p>
    <w:p w:rsidR="005762BF" w:rsidRDefault="005762BF" w:rsidP="005762BF">
      <w:pPr>
        <w:rPr>
          <w:rFonts w:cs="Arial"/>
          <w:sz w:val="22"/>
        </w:rPr>
      </w:pPr>
    </w:p>
    <w:p w:rsidR="005762BF" w:rsidRPr="005762BF" w:rsidRDefault="005762BF" w:rsidP="005762BF">
      <w:pPr>
        <w:rPr>
          <w:rFonts w:cs="Arial"/>
          <w:b/>
          <w:sz w:val="22"/>
        </w:rPr>
      </w:pPr>
      <w:r w:rsidRPr="005762BF">
        <w:rPr>
          <w:rFonts w:cs="Arial"/>
          <w:b/>
          <w:sz w:val="18"/>
        </w:rPr>
        <w:lastRenderedPageBreak/>
        <w:t>“ASI NOS VIERON LOS MEDIOS”:</w:t>
      </w:r>
      <w:r w:rsidRPr="00FF5D41">
        <w:rPr>
          <w:rFonts w:cs="Arial"/>
          <w:sz w:val="22"/>
        </w:rPr>
        <w:t xml:space="preserve"> Esta herramienta se creó para destacar las noticias más importantes de la semana. </w:t>
      </w:r>
      <w:r w:rsidR="002C367E" w:rsidRPr="002C367E">
        <w:rPr>
          <w:rFonts w:cs="Arial"/>
          <w:sz w:val="22"/>
        </w:rPr>
        <w:t>Durante este año, una vez creada, se ha divulgado por el correo interno 45</w:t>
      </w:r>
      <w:r>
        <w:rPr>
          <w:rFonts w:cs="Arial"/>
          <w:sz w:val="22"/>
        </w:rPr>
        <w:t>.</w:t>
      </w:r>
    </w:p>
    <w:p w:rsidR="00B54957" w:rsidRDefault="00B54957" w:rsidP="00F723CE">
      <w:pPr>
        <w:rPr>
          <w:rFonts w:eastAsia="Times New Roman" w:cs="Arial"/>
          <w:bCs/>
          <w:sz w:val="22"/>
          <w:u w:val="single"/>
          <w:lang w:val="es-ES_tradnl"/>
        </w:rPr>
      </w:pPr>
    </w:p>
    <w:p w:rsidR="00703E37" w:rsidRDefault="00703E37" w:rsidP="00703E37">
      <w:pPr>
        <w:rPr>
          <w:rFonts w:eastAsia="Times New Roman" w:cs="Arial"/>
          <w:bCs/>
          <w:sz w:val="22"/>
          <w:u w:val="single"/>
          <w:lang w:val="es-ES_tradnl"/>
        </w:rPr>
      </w:pPr>
      <w:r w:rsidRPr="00703E37">
        <w:rPr>
          <w:rFonts w:cs="Arial"/>
          <w:b/>
          <w:sz w:val="18"/>
        </w:rPr>
        <w:t xml:space="preserve">REVISTA CaMINantes: </w:t>
      </w:r>
      <w:r w:rsidRPr="00FF5D41">
        <w:rPr>
          <w:rFonts w:cs="Arial"/>
          <w:sz w:val="22"/>
        </w:rPr>
        <w:t>Este es un espacio creado para los funcionarios, donde ellos participan y se enteran de información de cultura general, entre otros</w:t>
      </w:r>
      <w:r>
        <w:rPr>
          <w:rFonts w:cs="Arial"/>
          <w:sz w:val="22"/>
        </w:rPr>
        <w:t>.</w:t>
      </w:r>
    </w:p>
    <w:p w:rsidR="005C124B" w:rsidRDefault="005C124B" w:rsidP="00F723CE">
      <w:pPr>
        <w:rPr>
          <w:rFonts w:eastAsia="Times New Roman" w:cs="Arial"/>
          <w:bCs/>
          <w:sz w:val="22"/>
          <w:u w:val="single"/>
          <w:lang w:val="es-ES_tradnl"/>
        </w:rPr>
      </w:pPr>
    </w:p>
    <w:p w:rsidR="00703E37" w:rsidRPr="00FF5D41" w:rsidRDefault="00703E37" w:rsidP="00703E37">
      <w:pPr>
        <w:rPr>
          <w:rFonts w:cs="Arial"/>
          <w:b/>
          <w:sz w:val="22"/>
        </w:rPr>
      </w:pPr>
      <w:r w:rsidRPr="00FF5D41">
        <w:rPr>
          <w:rFonts w:cs="Arial"/>
          <w:b/>
          <w:sz w:val="22"/>
        </w:rPr>
        <w:t>RETOS</w:t>
      </w:r>
    </w:p>
    <w:p w:rsidR="00703E37" w:rsidRPr="00703E37" w:rsidRDefault="00703E37" w:rsidP="00442CAC">
      <w:pPr>
        <w:pStyle w:val="Prrafodelista"/>
        <w:numPr>
          <w:ilvl w:val="0"/>
          <w:numId w:val="76"/>
        </w:numPr>
        <w:rPr>
          <w:rFonts w:cs="Arial"/>
          <w:sz w:val="22"/>
        </w:rPr>
      </w:pPr>
      <w:r w:rsidRPr="00703E37">
        <w:rPr>
          <w:rFonts w:cs="Arial"/>
          <w:sz w:val="22"/>
        </w:rPr>
        <w:t>Durante 2017 fueron registradas 30.973 noticias de las cuales 5.285 fueron negativas, lo que corresponde a un 0,1%. El reto para 2018, pese a todos los cambios que se puedan presentar, es no permitir que se incremente la imagen negativa de la Entidad.</w:t>
      </w:r>
    </w:p>
    <w:p w:rsidR="00703E37" w:rsidRPr="00703E37" w:rsidRDefault="00703E37" w:rsidP="00442CAC">
      <w:pPr>
        <w:pStyle w:val="Prrafodelista"/>
        <w:numPr>
          <w:ilvl w:val="0"/>
          <w:numId w:val="76"/>
        </w:numPr>
        <w:rPr>
          <w:rFonts w:eastAsia="Times New Roman" w:cs="Arial"/>
          <w:bCs/>
          <w:sz w:val="22"/>
          <w:u w:val="single"/>
          <w:lang w:val="es-ES_tradnl"/>
        </w:rPr>
      </w:pPr>
      <w:r w:rsidRPr="00703E37">
        <w:rPr>
          <w:rFonts w:cs="Arial"/>
          <w:sz w:val="22"/>
        </w:rPr>
        <w:t>Fortalecer el grupo de comunicaciones para 2018, lo que permitirá dar cumplimiento a los objetivos del grupo de Prensa</w:t>
      </w:r>
    </w:p>
    <w:p w:rsidR="00703E37" w:rsidRPr="00641EF2" w:rsidRDefault="00703E37" w:rsidP="00F723CE">
      <w:pPr>
        <w:rPr>
          <w:rFonts w:eastAsia="Times New Roman" w:cs="Arial"/>
          <w:bCs/>
          <w:sz w:val="22"/>
          <w:u w:val="single"/>
          <w:lang w:val="es-ES_tradnl"/>
        </w:rPr>
      </w:pPr>
    </w:p>
    <w:p w:rsidR="00371447" w:rsidRPr="00E07195" w:rsidRDefault="00371447" w:rsidP="00E07195">
      <w:pPr>
        <w:rPr>
          <w:sz w:val="22"/>
          <w:u w:val="single"/>
          <w:lang w:val="es-ES_tradnl"/>
        </w:rPr>
      </w:pPr>
      <w:bookmarkStart w:id="209" w:name="_Toc473412390"/>
      <w:bookmarkStart w:id="210" w:name="_Toc473412540"/>
      <w:r w:rsidRPr="00022FE3">
        <w:rPr>
          <w:sz w:val="22"/>
          <w:u w:val="single"/>
          <w:lang w:val="es-ES_tradnl"/>
        </w:rPr>
        <w:t xml:space="preserve">Componente DIÁLOGO </w:t>
      </w:r>
      <w:bookmarkEnd w:id="208"/>
      <w:r w:rsidRPr="00022FE3">
        <w:rPr>
          <w:sz w:val="22"/>
          <w:u w:val="single"/>
          <w:lang w:val="es-ES_tradnl"/>
        </w:rPr>
        <w:t>- Tema AGENDA DE INFRAESTRUCTURA Y TRANSPORTE EN LAS REGIONES</w:t>
      </w:r>
      <w:bookmarkEnd w:id="209"/>
      <w:bookmarkEnd w:id="210"/>
      <w:r w:rsidRPr="00E07195">
        <w:rPr>
          <w:sz w:val="22"/>
          <w:u w:val="single"/>
          <w:lang w:val="es-ES_tradnl"/>
        </w:rPr>
        <w:t xml:space="preserve"> </w:t>
      </w:r>
    </w:p>
    <w:p w:rsidR="00371447" w:rsidRDefault="00371447" w:rsidP="007F2796">
      <w:pPr>
        <w:spacing w:after="120"/>
        <w:rPr>
          <w:rFonts w:cs="Arial"/>
          <w:sz w:val="22"/>
          <w:highlight w:val="yellow"/>
          <w:lang w:val="es-ES_tradnl" w:eastAsia="ko-KR"/>
        </w:rPr>
      </w:pPr>
    </w:p>
    <w:p w:rsidR="00022FE3" w:rsidRPr="00022FE3" w:rsidRDefault="00022FE3" w:rsidP="007F2796">
      <w:pPr>
        <w:spacing w:after="120"/>
        <w:rPr>
          <w:rFonts w:cs="Arial"/>
          <w:sz w:val="20"/>
          <w:highlight w:val="yellow"/>
          <w:lang w:val="es-ES_tradnl" w:eastAsia="ko-KR"/>
        </w:rPr>
      </w:pPr>
      <w:r w:rsidRPr="00022FE3">
        <w:rPr>
          <w:sz w:val="22"/>
          <w:lang w:val="es-ES_tradnl" w:eastAsia="ko-KR"/>
        </w:rPr>
        <w:t>Las actividades descritas a continuación se configuran como espacios de contacto con la ciudadanía, los gremios, las autoridades locales, los medios de comunicación y los representantes de la comunidad. De esta manera, permiten complementar el ejercicio de rendición de cuentas reseñado en el presente reporte.</w:t>
      </w:r>
    </w:p>
    <w:p w:rsidR="00371447" w:rsidRPr="00E07195" w:rsidRDefault="00371447" w:rsidP="00E07195">
      <w:pPr>
        <w:rPr>
          <w:sz w:val="22"/>
          <w:u w:val="single"/>
          <w:lang w:val="es-ES_tradnl"/>
        </w:rPr>
      </w:pPr>
      <w:bookmarkStart w:id="211" w:name="_Toc410332726"/>
      <w:bookmarkStart w:id="212" w:name="_Toc473412391"/>
      <w:bookmarkStart w:id="213" w:name="_Toc473412541"/>
      <w:r w:rsidRPr="00E07195">
        <w:rPr>
          <w:sz w:val="22"/>
          <w:u w:val="single"/>
          <w:lang w:val="es-ES_tradnl"/>
        </w:rPr>
        <w:t xml:space="preserve">Componente DIÁLOGO – Tema </w:t>
      </w:r>
      <w:bookmarkEnd w:id="211"/>
      <w:r w:rsidRPr="00E07195">
        <w:rPr>
          <w:sz w:val="22"/>
          <w:u w:val="single"/>
          <w:lang w:val="es-ES_tradnl"/>
        </w:rPr>
        <w:t>ATENCIÓN AL CIUDADANO</w:t>
      </w:r>
      <w:bookmarkEnd w:id="212"/>
      <w:bookmarkEnd w:id="213"/>
    </w:p>
    <w:p w:rsidR="00022FE3" w:rsidRPr="00022FE3" w:rsidRDefault="00022FE3" w:rsidP="007F2796">
      <w:pPr>
        <w:spacing w:after="120"/>
        <w:rPr>
          <w:rFonts w:cs="Arial"/>
          <w:sz w:val="22"/>
          <w:lang w:val="es-ES_tradnl" w:eastAsia="ko-KR"/>
        </w:rPr>
      </w:pPr>
    </w:p>
    <w:p w:rsidR="00022FE3" w:rsidRPr="00022FE3" w:rsidRDefault="00022FE3" w:rsidP="00022FE3">
      <w:pPr>
        <w:spacing w:after="120"/>
        <w:rPr>
          <w:rFonts w:cs="Arial"/>
          <w:sz w:val="22"/>
          <w:lang w:val="es-ES_tradnl"/>
        </w:rPr>
      </w:pPr>
      <w:r w:rsidRPr="00022FE3">
        <w:rPr>
          <w:rFonts w:cs="Arial"/>
          <w:sz w:val="22"/>
          <w:lang w:val="es-ES_tradnl"/>
        </w:rPr>
        <w:t>El Grupo de Atención al Ciudadano del Ministerio de Transporte busca orientar sus acciones hacia la mejora continua de sus procesos internos de atención, la entrega de servicios que cumplan con los requisitos y expectativas de los ciudadanos, la calidez, conocimiento y orientación de los servidores públicos y la optimización de los recursos, con el fin de garantizar la excelencia en el servicio al ciudadano, constituyéndose de esta manera en una alternativa eficaz para el diálogo, que se torna muy importante considerar en el presente informe de gestión de rendición de cuentas.</w:t>
      </w:r>
    </w:p>
    <w:p w:rsidR="00022FE3" w:rsidRPr="00022FE3" w:rsidRDefault="00022FE3" w:rsidP="00022FE3">
      <w:pPr>
        <w:spacing w:after="120"/>
        <w:rPr>
          <w:rFonts w:cs="Arial"/>
          <w:sz w:val="22"/>
          <w:lang w:val="es-ES_tradnl" w:eastAsia="ko-KR"/>
        </w:rPr>
      </w:pPr>
      <w:r w:rsidRPr="00022FE3">
        <w:rPr>
          <w:rFonts w:cs="Arial"/>
          <w:sz w:val="22"/>
          <w:lang w:val="es-ES_tradnl"/>
        </w:rPr>
        <w:lastRenderedPageBreak/>
        <w:t>El objetivo general buscado con la atención al ciudadano como faceta complementaria del componente Diálogo en el ejercicio de Rendición de Cuentas del Ministerio es una actividad que se cumple permanentemente y con alta eficiencia e impacto, suministrando información sobre la gestión y acciones de la entidad</w:t>
      </w:r>
    </w:p>
    <w:p w:rsidR="00022FE3" w:rsidRPr="00022FE3" w:rsidRDefault="00022FE3" w:rsidP="00022FE3">
      <w:pPr>
        <w:spacing w:after="120"/>
        <w:rPr>
          <w:rFonts w:eastAsia="MS PGothic" w:cs="Arial"/>
          <w:sz w:val="22"/>
          <w:lang w:eastAsia="es-CO"/>
        </w:rPr>
      </w:pPr>
      <w:r w:rsidRPr="00022FE3">
        <w:rPr>
          <w:rFonts w:cs="Arial"/>
          <w:b/>
          <w:sz w:val="22"/>
          <w:lang w:val="es-ES_tradnl"/>
        </w:rPr>
        <w:t>Estructura Organizacional</w:t>
      </w:r>
      <w:r>
        <w:rPr>
          <w:rFonts w:cs="Arial"/>
          <w:b/>
          <w:sz w:val="22"/>
          <w:lang w:val="es-ES_tradnl"/>
        </w:rPr>
        <w:t xml:space="preserve">: </w:t>
      </w:r>
      <w:r w:rsidRPr="00022FE3">
        <w:rPr>
          <w:rFonts w:eastAsia="MS PGothic" w:cs="Arial"/>
          <w:sz w:val="22"/>
          <w:lang w:eastAsia="es-CO"/>
        </w:rPr>
        <w:t xml:space="preserve">De acuerdo a lo establecido en la Ley 1474 del 12 de Julio de 2011, Art 76, la Entidad cuenta con una dependencia encargada de recibir, tramitar, y resolver las quejas, sugerencias y reclamos que los ciudadanos formulen, relacionadas con la Misión de la Ministerio. </w:t>
      </w:r>
    </w:p>
    <w:p w:rsidR="00022FE3" w:rsidRPr="007C37E8" w:rsidRDefault="00022FE3" w:rsidP="00022FE3">
      <w:pPr>
        <w:tabs>
          <w:tab w:val="left" w:pos="567"/>
        </w:tabs>
        <w:spacing w:after="120"/>
        <w:textAlignment w:val="baseline"/>
        <w:rPr>
          <w:rFonts w:eastAsia="MS PGothic" w:cs="Arial"/>
          <w:sz w:val="22"/>
          <w:lang w:eastAsia="es-CO"/>
        </w:rPr>
      </w:pPr>
      <w:r w:rsidRPr="00022FE3">
        <w:rPr>
          <w:rFonts w:eastAsia="MS PGothic" w:cs="Arial"/>
          <w:sz w:val="22"/>
          <w:lang w:eastAsia="es-CO"/>
        </w:rPr>
        <w:t xml:space="preserve">Con el propósito de hacer efectiva la comunicación entre el ciudadano y el Ministerio de </w:t>
      </w:r>
      <w:r w:rsidRPr="007C37E8">
        <w:rPr>
          <w:rFonts w:eastAsia="MS PGothic" w:cs="Arial"/>
          <w:sz w:val="22"/>
          <w:lang w:eastAsia="es-CO"/>
        </w:rPr>
        <w:t>Transporte, se establecieron los siguientes canales de atención, a través de los cuales los ciudadanos podrán presentar ante la Entidad cualquier tipo de petición:</w:t>
      </w:r>
    </w:p>
    <w:p w:rsidR="00022FE3" w:rsidRPr="007C37E8" w:rsidRDefault="00022FE3" w:rsidP="00442CAC">
      <w:pPr>
        <w:pStyle w:val="Prrafodelista"/>
        <w:numPr>
          <w:ilvl w:val="0"/>
          <w:numId w:val="78"/>
        </w:numPr>
        <w:tabs>
          <w:tab w:val="left" w:pos="567"/>
        </w:tabs>
        <w:spacing w:after="120" w:line="240" w:lineRule="auto"/>
        <w:textAlignment w:val="baseline"/>
        <w:rPr>
          <w:rFonts w:eastAsia="MS PGothic" w:cs="Arial"/>
          <w:b/>
          <w:sz w:val="22"/>
        </w:rPr>
      </w:pPr>
      <w:r w:rsidRPr="007C37E8">
        <w:rPr>
          <w:rFonts w:eastAsia="MS PGothic" w:cs="Arial"/>
          <w:b/>
          <w:sz w:val="22"/>
        </w:rPr>
        <w:t>Presencial</w:t>
      </w:r>
    </w:p>
    <w:p w:rsidR="00022FE3" w:rsidRPr="007C37E8" w:rsidRDefault="00022FE3" w:rsidP="00022FE3">
      <w:pPr>
        <w:rPr>
          <w:b/>
          <w:sz w:val="22"/>
        </w:rPr>
      </w:pPr>
      <w:r w:rsidRPr="007C37E8">
        <w:rPr>
          <w:sz w:val="22"/>
        </w:rPr>
        <w:t>Los ciudadanos pueden recibir información de trámites y servicios que brinda la Entidad, tanto en Planta Central (Bogotá) como en las diferentes direcciones territoriales ubicadas a lo largo del territorio nacional.</w:t>
      </w:r>
    </w:p>
    <w:p w:rsidR="00022FE3" w:rsidRPr="007C37E8" w:rsidRDefault="00022FE3" w:rsidP="00022FE3">
      <w:pPr>
        <w:spacing w:after="120"/>
        <w:rPr>
          <w:rFonts w:cs="Arial"/>
          <w:sz w:val="22"/>
          <w:lang w:val="es-ES_tradnl" w:eastAsia="ko-KR"/>
        </w:rPr>
      </w:pPr>
      <w:r w:rsidRPr="007C37E8">
        <w:rPr>
          <w:sz w:val="22"/>
        </w:rPr>
        <w:t>Este es el espacio físico ubicado en las oficinas del Planta Central, con dos grupos: Grupo de  Atención Ciudadano atención de primer nivel y Grupo de Información y Asesoría Especializada en Materia de Transporte y Tránsito,  en los que los usuarios interactúan de forma personalizada con los funcionarios del Ministerio de Transporte para realizar sus trámites y servicios, solicitar información, orientación o asistencia relacionada con el quehacer de la Entidad</w:t>
      </w:r>
    </w:p>
    <w:p w:rsidR="007C37E8" w:rsidRPr="007C37E8" w:rsidRDefault="007C37E8" w:rsidP="00442CAC">
      <w:pPr>
        <w:pStyle w:val="Prrafodelista"/>
        <w:numPr>
          <w:ilvl w:val="0"/>
          <w:numId w:val="78"/>
        </w:numPr>
        <w:tabs>
          <w:tab w:val="left" w:pos="567"/>
        </w:tabs>
        <w:spacing w:after="120" w:line="240" w:lineRule="auto"/>
        <w:textAlignment w:val="baseline"/>
        <w:rPr>
          <w:rFonts w:eastAsia="MS PGothic" w:cs="Arial"/>
          <w:b/>
          <w:sz w:val="22"/>
        </w:rPr>
      </w:pPr>
      <w:r w:rsidRPr="007C37E8">
        <w:rPr>
          <w:rFonts w:eastAsia="MS PGothic" w:cs="Arial"/>
          <w:b/>
          <w:sz w:val="22"/>
        </w:rPr>
        <w:t>Centro de Contacto Ciudadano</w:t>
      </w:r>
    </w:p>
    <w:p w:rsidR="007C37E8" w:rsidRPr="007C37E8" w:rsidRDefault="007C37E8" w:rsidP="007C37E8">
      <w:pPr>
        <w:rPr>
          <w:b/>
          <w:sz w:val="22"/>
        </w:rPr>
      </w:pPr>
      <w:r w:rsidRPr="007C37E8">
        <w:rPr>
          <w:sz w:val="22"/>
        </w:rPr>
        <w:t>Canal dedicado atender las inquietudes de primer nivel de los ciudadanos, lo componen 10 operadores o agentes capacitados por el Ministerio de Transporte para informar sobre temas de transporte y tránsito. Éste se compone por:</w:t>
      </w:r>
    </w:p>
    <w:p w:rsidR="007C37E8" w:rsidRPr="007C37E8" w:rsidRDefault="007C37E8" w:rsidP="00442CAC">
      <w:pPr>
        <w:pStyle w:val="Prrafodelista"/>
        <w:numPr>
          <w:ilvl w:val="0"/>
          <w:numId w:val="79"/>
        </w:numPr>
        <w:spacing w:after="160" w:line="259" w:lineRule="auto"/>
        <w:rPr>
          <w:b/>
          <w:sz w:val="22"/>
        </w:rPr>
      </w:pPr>
      <w:r w:rsidRPr="007C37E8">
        <w:rPr>
          <w:b/>
          <w:sz w:val="22"/>
        </w:rPr>
        <w:t xml:space="preserve">Call Center: </w:t>
      </w:r>
      <w:r w:rsidRPr="007C37E8">
        <w:rPr>
          <w:sz w:val="22"/>
        </w:rPr>
        <w:t>Los agentes recepcionan las solicitudes de los ciudadanos por medio telefónico, con el fin de darle solución a sus inquietudes, a través de la línea telefónica para Bogotá 6001242 y la línea transparente a nivel nacional 018000112042.</w:t>
      </w:r>
    </w:p>
    <w:p w:rsidR="007C37E8" w:rsidRPr="007C37E8" w:rsidRDefault="007C37E8" w:rsidP="00442CAC">
      <w:pPr>
        <w:pStyle w:val="Prrafodelista"/>
        <w:numPr>
          <w:ilvl w:val="0"/>
          <w:numId w:val="79"/>
        </w:numPr>
        <w:spacing w:after="160" w:line="259" w:lineRule="auto"/>
        <w:rPr>
          <w:b/>
          <w:sz w:val="22"/>
        </w:rPr>
      </w:pPr>
      <w:r w:rsidRPr="007C37E8">
        <w:rPr>
          <w:b/>
          <w:sz w:val="22"/>
        </w:rPr>
        <w:t xml:space="preserve">Chat: </w:t>
      </w:r>
      <w:r w:rsidRPr="007C37E8">
        <w:rPr>
          <w:sz w:val="22"/>
        </w:rPr>
        <w:t xml:space="preserve">Así como el Call Center, este canal permite recepcionar solicitudes por medio de la página web </w:t>
      </w:r>
      <w:hyperlink r:id="rId45" w:history="1">
        <w:r w:rsidRPr="007C37E8">
          <w:rPr>
            <w:rStyle w:val="Hipervnculo"/>
            <w:sz w:val="22"/>
          </w:rPr>
          <w:t>www.mintransporte.gov.co.Ubicado</w:t>
        </w:r>
      </w:hyperlink>
      <w:r w:rsidRPr="007C37E8">
        <w:rPr>
          <w:sz w:val="22"/>
        </w:rPr>
        <w:t xml:space="preserve"> en toda la navegación de la Web del Ministerio, así lo ciudadanos pueden consultar  en cualquier momento. </w:t>
      </w:r>
    </w:p>
    <w:p w:rsidR="007C37E8" w:rsidRPr="007C37E8" w:rsidRDefault="007C37E8" w:rsidP="00442CAC">
      <w:pPr>
        <w:pStyle w:val="Prrafodelista"/>
        <w:numPr>
          <w:ilvl w:val="0"/>
          <w:numId w:val="79"/>
        </w:numPr>
        <w:spacing w:after="160" w:line="259" w:lineRule="auto"/>
        <w:rPr>
          <w:sz w:val="22"/>
        </w:rPr>
      </w:pPr>
      <w:r w:rsidRPr="007C37E8">
        <w:rPr>
          <w:b/>
          <w:sz w:val="22"/>
        </w:rPr>
        <w:lastRenderedPageBreak/>
        <w:t xml:space="preserve">PBX: </w:t>
      </w:r>
      <w:r w:rsidRPr="007C37E8">
        <w:rPr>
          <w:sz w:val="22"/>
        </w:rPr>
        <w:t xml:space="preserve">Atención de la línea 3240800 para comunicar a los ciudadanos con las diferentes dependencia del Ministerio de Transporte a nivel de Planta Central.  </w:t>
      </w:r>
    </w:p>
    <w:p w:rsidR="007C37E8" w:rsidRPr="007C37E8" w:rsidRDefault="007C37E8" w:rsidP="007C37E8">
      <w:pPr>
        <w:pStyle w:val="Prrafodelista"/>
        <w:spacing w:after="160" w:line="259" w:lineRule="auto"/>
        <w:ind w:left="1440"/>
        <w:rPr>
          <w:sz w:val="22"/>
        </w:rPr>
      </w:pPr>
    </w:p>
    <w:p w:rsidR="007C37E8" w:rsidRPr="007C37E8" w:rsidRDefault="007C37E8" w:rsidP="00442CAC">
      <w:pPr>
        <w:pStyle w:val="Prrafodelista"/>
        <w:numPr>
          <w:ilvl w:val="0"/>
          <w:numId w:val="78"/>
        </w:numPr>
        <w:tabs>
          <w:tab w:val="left" w:pos="567"/>
        </w:tabs>
        <w:spacing w:after="120" w:line="240" w:lineRule="auto"/>
        <w:textAlignment w:val="baseline"/>
        <w:rPr>
          <w:rFonts w:eastAsia="MS PGothic" w:cs="Arial"/>
          <w:b/>
          <w:sz w:val="22"/>
        </w:rPr>
      </w:pPr>
      <w:r w:rsidRPr="007C37E8">
        <w:rPr>
          <w:rFonts w:eastAsia="MS PGothic" w:cs="Arial"/>
          <w:b/>
          <w:sz w:val="22"/>
        </w:rPr>
        <w:t>Página Web – Formulario Ciudadano</w:t>
      </w:r>
    </w:p>
    <w:p w:rsidR="007C37E8" w:rsidRPr="007C37E8" w:rsidRDefault="007C37E8" w:rsidP="007C37E8">
      <w:pPr>
        <w:tabs>
          <w:tab w:val="left" w:pos="567"/>
        </w:tabs>
        <w:spacing w:after="120"/>
        <w:textAlignment w:val="baseline"/>
        <w:rPr>
          <w:rFonts w:eastAsia="MS PGothic" w:cs="Arial"/>
          <w:sz w:val="22"/>
          <w:lang w:eastAsia="es-CO"/>
        </w:rPr>
      </w:pPr>
      <w:r w:rsidRPr="007C37E8">
        <w:rPr>
          <w:rFonts w:eastAsia="MS PGothic" w:cs="Arial"/>
          <w:sz w:val="22"/>
          <w:lang w:eastAsia="es-CO"/>
        </w:rPr>
        <w:t>Sitio oficial del Ministerio de Transporte donde los usuarios podrán encontrar el Formulario Ciudadano donde pueden radicar y hacer seguimiento a sus peticiones, quejas, reclamos y sugerencias, además de la información general de la Entidad, comunicados de prensa, información de interés para el ciudadano, normatividad, políticas, lineamientos, información financiera, contable, planeación, gestión y control.</w:t>
      </w:r>
    </w:p>
    <w:p w:rsidR="007C37E8" w:rsidRPr="007C37E8" w:rsidRDefault="00576E08" w:rsidP="007C37E8">
      <w:pPr>
        <w:tabs>
          <w:tab w:val="left" w:pos="567"/>
        </w:tabs>
        <w:spacing w:after="120"/>
        <w:textAlignment w:val="baseline"/>
        <w:rPr>
          <w:rFonts w:eastAsia="MS PGothic" w:cs="Arial"/>
          <w:sz w:val="22"/>
          <w:lang w:eastAsia="es-CO"/>
        </w:rPr>
      </w:pPr>
      <w:hyperlink r:id="rId46" w:history="1">
        <w:r w:rsidR="007C37E8" w:rsidRPr="007C37E8">
          <w:rPr>
            <w:rStyle w:val="Hipervnculo"/>
            <w:rFonts w:eastAsia="MS PGothic" w:cs="Arial"/>
            <w:sz w:val="22"/>
            <w:lang w:eastAsia="es-CO"/>
          </w:rPr>
          <w:t>http://gestiondocumental.mintransporte.gov.co/consultaWeb/index_web.php</w:t>
        </w:r>
      </w:hyperlink>
    </w:p>
    <w:p w:rsidR="007C37E8" w:rsidRPr="007C37E8" w:rsidRDefault="007C37E8" w:rsidP="007C37E8">
      <w:pPr>
        <w:spacing w:after="120"/>
        <w:rPr>
          <w:rFonts w:cs="Arial"/>
          <w:b/>
          <w:sz w:val="22"/>
          <w:lang w:val="es-ES_tradnl"/>
        </w:rPr>
      </w:pPr>
      <w:r w:rsidRPr="007C37E8">
        <w:rPr>
          <w:rFonts w:cs="Arial"/>
          <w:b/>
          <w:sz w:val="22"/>
          <w:lang w:val="es-ES_tradnl"/>
        </w:rPr>
        <w:t>Transparencia y Acceso a la Información</w:t>
      </w:r>
    </w:p>
    <w:p w:rsidR="007C37E8" w:rsidRPr="007C37E8" w:rsidRDefault="007C37E8" w:rsidP="007C37E8">
      <w:pPr>
        <w:tabs>
          <w:tab w:val="left" w:pos="567"/>
        </w:tabs>
        <w:spacing w:after="120"/>
        <w:textAlignment w:val="baseline"/>
        <w:rPr>
          <w:rFonts w:eastAsia="MS PGothic" w:cs="Arial"/>
          <w:color w:val="000000"/>
          <w:sz w:val="22"/>
          <w:lang w:eastAsia="es-CO"/>
        </w:rPr>
      </w:pPr>
      <w:r w:rsidRPr="007C37E8">
        <w:rPr>
          <w:rFonts w:eastAsia="MS PGothic" w:cs="Arial"/>
          <w:color w:val="000000"/>
          <w:sz w:val="22"/>
          <w:lang w:eastAsia="es-CO"/>
        </w:rPr>
        <w:t>El Ministerio de Transporte, incluye en el plan anticorrupción para el año 2017, acciones encaminadas al fortalecimiento del derecho de acceso a la información pública tanto en la gestión administrativa, como en los servidores públicos y ciudadanos.</w:t>
      </w:r>
    </w:p>
    <w:p w:rsidR="007C37E8" w:rsidRPr="007C37E8" w:rsidRDefault="00576E08" w:rsidP="007C37E8">
      <w:pPr>
        <w:tabs>
          <w:tab w:val="left" w:pos="567"/>
        </w:tabs>
        <w:spacing w:after="120"/>
        <w:textAlignment w:val="baseline"/>
        <w:rPr>
          <w:rStyle w:val="Hipervnculo"/>
          <w:rFonts w:eastAsia="MS PGothic" w:cs="Arial"/>
          <w:sz w:val="22"/>
          <w:lang w:eastAsia="es-CO"/>
        </w:rPr>
      </w:pPr>
      <w:hyperlink r:id="rId47" w:history="1">
        <w:r w:rsidR="007C37E8" w:rsidRPr="007C37E8">
          <w:rPr>
            <w:rStyle w:val="Hipervnculo"/>
            <w:rFonts w:eastAsia="MS PGothic" w:cs="Arial"/>
            <w:sz w:val="22"/>
            <w:lang w:eastAsia="es-CO"/>
          </w:rPr>
          <w:t>https://www.mintransporte.gov.co/descargar.php?id=5467</w:t>
        </w:r>
      </w:hyperlink>
    </w:p>
    <w:p w:rsidR="007C37E8" w:rsidRPr="007C37E8" w:rsidRDefault="007C37E8" w:rsidP="007C37E8">
      <w:pPr>
        <w:tabs>
          <w:tab w:val="left" w:pos="567"/>
        </w:tabs>
        <w:spacing w:after="120"/>
        <w:textAlignment w:val="baseline"/>
        <w:rPr>
          <w:rFonts w:eastAsia="MS PGothic" w:cs="Arial"/>
          <w:color w:val="000000"/>
          <w:sz w:val="22"/>
          <w:lang w:eastAsia="es-CO"/>
        </w:rPr>
      </w:pPr>
      <w:r w:rsidRPr="007C37E8">
        <w:rPr>
          <w:rFonts w:eastAsia="MS PGothic" w:cs="Arial"/>
          <w:color w:val="000000"/>
          <w:sz w:val="22"/>
          <w:lang w:eastAsia="es-CO"/>
        </w:rPr>
        <w:t xml:space="preserve">La información del Ministerio  está disponible para la ciudadanía  en la página web de la Entidad </w:t>
      </w:r>
      <w:hyperlink r:id="rId48" w:history="1">
        <w:r w:rsidRPr="007C37E8">
          <w:rPr>
            <w:rFonts w:eastAsia="MS PGothic" w:cs="Arial"/>
            <w:color w:val="0000FF"/>
            <w:sz w:val="22"/>
            <w:u w:val="single"/>
            <w:lang w:eastAsia="es-CO"/>
          </w:rPr>
          <w:t>www.mintransporte.gov.co</w:t>
        </w:r>
      </w:hyperlink>
      <w:r w:rsidRPr="007C37E8">
        <w:rPr>
          <w:rFonts w:eastAsia="MS PGothic" w:cs="Arial"/>
          <w:color w:val="000000"/>
          <w:sz w:val="22"/>
          <w:lang w:eastAsia="es-CO"/>
        </w:rPr>
        <w:t xml:space="preserve">  en dos enlaces llamados Ley 1712 Transparencia y Acceso a la Información, el primer enlace ubicado en el home de la página en botón como acceso directo y el segundo enlace en el minisite de Atención al Ciudadano.</w:t>
      </w:r>
    </w:p>
    <w:p w:rsidR="007C37E8" w:rsidRPr="007C37E8" w:rsidRDefault="00576E08" w:rsidP="007C37E8">
      <w:pPr>
        <w:spacing w:after="120"/>
        <w:rPr>
          <w:rFonts w:cs="Arial"/>
          <w:bCs/>
          <w:sz w:val="22"/>
        </w:rPr>
      </w:pPr>
      <w:hyperlink r:id="rId49" w:history="1">
        <w:r w:rsidR="007C37E8" w:rsidRPr="007C37E8">
          <w:rPr>
            <w:rStyle w:val="Hipervnculo"/>
            <w:rFonts w:eastAsia="MS PGothic" w:cs="Arial"/>
            <w:sz w:val="22"/>
            <w:lang w:eastAsia="es-CO"/>
          </w:rPr>
          <w:t>https://www.mintransporte.gov.co/Publicaciones/atencion_al_ciudadano/informacion_para_el_ciudadano</w:t>
        </w:r>
      </w:hyperlink>
      <w:r w:rsidR="007C37E8" w:rsidRPr="007C37E8">
        <w:rPr>
          <w:rFonts w:eastAsia="MS PGothic" w:cs="Arial"/>
          <w:color w:val="000000"/>
          <w:sz w:val="22"/>
          <w:lang w:eastAsia="es-CO"/>
        </w:rPr>
        <w:t>.</w:t>
      </w:r>
    </w:p>
    <w:p w:rsidR="007C37E8" w:rsidRPr="007C37E8" w:rsidRDefault="007C37E8" w:rsidP="007C37E8">
      <w:pPr>
        <w:spacing w:after="120"/>
        <w:rPr>
          <w:rFonts w:cs="Arial"/>
          <w:b/>
          <w:sz w:val="22"/>
          <w:lang w:val="es-ES_tradnl"/>
        </w:rPr>
      </w:pPr>
    </w:p>
    <w:p w:rsidR="007C37E8" w:rsidRPr="007C37E8" w:rsidRDefault="007C37E8" w:rsidP="007C37E8">
      <w:pPr>
        <w:tabs>
          <w:tab w:val="left" w:pos="567"/>
        </w:tabs>
        <w:spacing w:after="120"/>
        <w:textAlignment w:val="baseline"/>
        <w:rPr>
          <w:rFonts w:eastAsia="MS PGothic" w:cs="Arial"/>
          <w:sz w:val="22"/>
          <w:lang w:eastAsia="es-CO"/>
        </w:rPr>
      </w:pPr>
      <w:r w:rsidRPr="007C37E8">
        <w:rPr>
          <w:rFonts w:eastAsia="MS PGothic" w:cs="Arial"/>
          <w:b/>
          <w:sz w:val="22"/>
          <w:lang w:eastAsia="es-CO"/>
        </w:rPr>
        <w:t>Esquema de publicación de información pública publicable</w:t>
      </w:r>
      <w:r>
        <w:rPr>
          <w:rFonts w:eastAsia="MS PGothic" w:cs="Arial"/>
          <w:b/>
          <w:sz w:val="22"/>
          <w:lang w:eastAsia="es-CO"/>
        </w:rPr>
        <w:t xml:space="preserve">: </w:t>
      </w:r>
      <w:r w:rsidRPr="007C37E8">
        <w:rPr>
          <w:rFonts w:eastAsia="MS PGothic" w:cs="Arial"/>
          <w:sz w:val="22"/>
          <w:lang w:eastAsia="es-CO"/>
        </w:rPr>
        <w:t>En la página web de la entidad se relaciona la publicación de la información   de forma que se facilite su uso, comprensión, que permita asegurar su calidad, veracidad, oportunidad, confiabilidad y que se publica y se actualiza  de manera proactiva, con la periodicidad mínima que se establece. Este enlace cuenta con la actualización permanente.</w:t>
      </w:r>
    </w:p>
    <w:p w:rsidR="007C37E8" w:rsidRPr="007C37E8" w:rsidRDefault="00576E08" w:rsidP="007C37E8">
      <w:pPr>
        <w:tabs>
          <w:tab w:val="left" w:pos="567"/>
        </w:tabs>
        <w:spacing w:after="120"/>
        <w:textAlignment w:val="baseline"/>
        <w:rPr>
          <w:rFonts w:eastAsia="MS PGothic" w:cs="Arial"/>
          <w:sz w:val="22"/>
          <w:lang w:eastAsia="es-CO"/>
        </w:rPr>
      </w:pPr>
      <w:hyperlink r:id="rId50" w:history="1">
        <w:r w:rsidR="007C37E8" w:rsidRPr="007C37E8">
          <w:rPr>
            <w:rStyle w:val="Hipervnculo"/>
            <w:rFonts w:eastAsia="MS PGothic" w:cs="Arial"/>
            <w:sz w:val="22"/>
            <w:lang w:eastAsia="es-CO"/>
          </w:rPr>
          <w:t>https://www.mintransporte.gov.co/Publicaciones/atencion_al_ciudadano/transparencia_y_acceso_a_informacion_publica</w:t>
        </w:r>
      </w:hyperlink>
      <w:r w:rsidR="007C37E8" w:rsidRPr="007C37E8">
        <w:rPr>
          <w:rFonts w:eastAsia="MS PGothic" w:cs="Arial"/>
          <w:sz w:val="22"/>
          <w:lang w:eastAsia="es-CO"/>
        </w:rPr>
        <w:t xml:space="preserve"> </w:t>
      </w:r>
    </w:p>
    <w:p w:rsidR="007C37E8" w:rsidRPr="007C37E8" w:rsidRDefault="007C37E8" w:rsidP="007C37E8">
      <w:pPr>
        <w:spacing w:after="120"/>
        <w:rPr>
          <w:rFonts w:eastAsia="MS PGothic" w:cs="Arial"/>
          <w:sz w:val="22"/>
          <w:lang w:eastAsia="es-CO"/>
        </w:rPr>
      </w:pPr>
      <w:r w:rsidRPr="007C37E8">
        <w:rPr>
          <w:rFonts w:eastAsia="Calibri" w:cs="Times New Roman"/>
          <w:b/>
          <w:sz w:val="22"/>
        </w:rPr>
        <w:lastRenderedPageBreak/>
        <w:t>Divulgar la información en formatos alternativos comprensibles</w:t>
      </w:r>
      <w:r>
        <w:rPr>
          <w:rFonts w:eastAsia="Calibri" w:cs="Times New Roman"/>
          <w:b/>
          <w:sz w:val="22"/>
        </w:rPr>
        <w:t xml:space="preserve">: </w:t>
      </w:r>
      <w:r w:rsidRPr="007C37E8">
        <w:rPr>
          <w:rFonts w:eastAsia="MS PGothic" w:cs="Arial"/>
          <w:sz w:val="22"/>
          <w:lang w:eastAsia="es-CO"/>
        </w:rPr>
        <w:t>El Ministerio de Transporte ha venido trabajando en implementar con base en los lineamientos de accesibilidad en medios electrónicos para la población en situación de discapacidad, referente al lenguaje subtitulado teniendo en cuenta la accesibilidad de la información para personas con discapacidad auditiva, establecidos en la Norma Técnica de Accesibilidad  5854, ejemplo de ello la producción y publicación del video “Instructivo PQRS atención al ciudadano” ubicado en el siguiente enlace:</w:t>
      </w:r>
    </w:p>
    <w:p w:rsidR="007C37E8" w:rsidRPr="007C37E8" w:rsidRDefault="00576E08" w:rsidP="007C37E8">
      <w:pPr>
        <w:spacing w:after="120"/>
        <w:rPr>
          <w:rFonts w:eastAsia="MS PGothic" w:cs="Arial"/>
          <w:sz w:val="22"/>
          <w:lang w:eastAsia="es-CO"/>
        </w:rPr>
      </w:pPr>
      <w:hyperlink r:id="rId51" w:history="1">
        <w:r w:rsidR="007C37E8" w:rsidRPr="007C37E8">
          <w:rPr>
            <w:rStyle w:val="Hipervnculo"/>
            <w:rFonts w:eastAsia="MS PGothic" w:cs="Arial"/>
            <w:sz w:val="22"/>
            <w:lang w:eastAsia="es-CO"/>
          </w:rPr>
          <w:t>https://www.mintransporte.gov.co/Publicaciones/atencion_al_ciudadano/peticiones_quejas_reclamos_y_sugerencias_pqrs/instructivo_para_realizar_tus_pqrs</w:t>
        </w:r>
      </w:hyperlink>
    </w:p>
    <w:p w:rsidR="007C37E8" w:rsidRPr="007C37E8" w:rsidRDefault="007C37E8" w:rsidP="007C37E8">
      <w:pPr>
        <w:spacing w:after="120"/>
        <w:rPr>
          <w:rFonts w:eastAsia="MS PGothic" w:cs="Arial"/>
          <w:sz w:val="22"/>
          <w:lang w:eastAsia="es-CO"/>
        </w:rPr>
      </w:pPr>
      <w:r w:rsidRPr="007C37E8">
        <w:rPr>
          <w:rFonts w:eastAsia="MS PGothic" w:cs="Arial"/>
          <w:sz w:val="22"/>
          <w:lang w:eastAsia="es-CO"/>
        </w:rPr>
        <w:t>Esta estrategia apoyada por la Secretaría General del Ministerio de Transporte que persigue aumentar conciencia y activar la voluntad para la acción en los funcionarios del Ministerio y contratistas, acerca de su papel como ser humano transformador de sociedades que permitan el goce pleno de la participación digna de las personas con discapacidad y poblaciones vulnerables en la interacción con entornos cómodos, accesibles y seguros, mediados por los postulados del diseño universal, dentro del Plan Conquista del MT.</w:t>
      </w:r>
    </w:p>
    <w:p w:rsidR="00371447" w:rsidRDefault="007C37E8" w:rsidP="007C37E8">
      <w:pPr>
        <w:spacing w:after="120"/>
        <w:rPr>
          <w:rFonts w:eastAsia="MS PGothic" w:cs="Arial"/>
          <w:sz w:val="22"/>
          <w:lang w:eastAsia="es-CO"/>
        </w:rPr>
      </w:pPr>
      <w:r w:rsidRPr="007C37E8">
        <w:rPr>
          <w:rFonts w:eastAsia="MS PGothic" w:cs="Arial"/>
          <w:sz w:val="22"/>
          <w:lang w:eastAsia="es-CO"/>
        </w:rPr>
        <w:t>Se logró la participación de los directores territoriales,  funcionarios de las inspecciones fluviales</w:t>
      </w:r>
      <w:r w:rsidRPr="007C37E8">
        <w:rPr>
          <w:rFonts w:eastAsia="MS PGothic" w:cs="Arial"/>
          <w:color w:val="FF0000"/>
          <w:sz w:val="22"/>
          <w:lang w:eastAsia="es-CO"/>
        </w:rPr>
        <w:t xml:space="preserve"> </w:t>
      </w:r>
      <w:r w:rsidRPr="007C37E8">
        <w:rPr>
          <w:rFonts w:eastAsia="MS PGothic" w:cs="Arial"/>
          <w:sz w:val="22"/>
          <w:lang w:eastAsia="es-CO"/>
        </w:rPr>
        <w:t>así como los funcionarios de planta central que atienden público en el</w:t>
      </w:r>
      <w:r w:rsidRPr="007C37E8">
        <w:rPr>
          <w:sz w:val="22"/>
        </w:rPr>
        <w:t xml:space="preserve"> “Taller Servicio Incluyente al Ciudadano”, donde  se trataron temas como: </w:t>
      </w:r>
      <w:r w:rsidRPr="007C37E8">
        <w:rPr>
          <w:rFonts w:eastAsia="MS PGothic" w:cs="Arial"/>
          <w:sz w:val="22"/>
          <w:lang w:eastAsia="es-CO"/>
        </w:rPr>
        <w:t>La inclusión debe ser digna, la mejor accesibilidad es la que no se ve pero se siente, la inclusión debe ser transparente</w:t>
      </w:r>
      <w:r>
        <w:rPr>
          <w:rFonts w:eastAsia="MS PGothic" w:cs="Arial"/>
          <w:sz w:val="22"/>
          <w:lang w:eastAsia="es-CO"/>
        </w:rPr>
        <w:t>.</w:t>
      </w:r>
    </w:p>
    <w:p w:rsidR="007C37E8" w:rsidRDefault="007C37E8" w:rsidP="007C37E8">
      <w:pPr>
        <w:spacing w:after="120"/>
        <w:rPr>
          <w:rFonts w:eastAsia="MS PGothic" w:cs="Arial"/>
          <w:sz w:val="22"/>
          <w:lang w:eastAsia="es-CO"/>
        </w:rPr>
      </w:pPr>
    </w:p>
    <w:p w:rsidR="007C37E8" w:rsidRPr="007C37E8" w:rsidRDefault="007C37E8" w:rsidP="007C37E8">
      <w:pPr>
        <w:rPr>
          <w:b/>
          <w:sz w:val="22"/>
        </w:rPr>
      </w:pPr>
      <w:r w:rsidRPr="007C37E8">
        <w:rPr>
          <w:b/>
          <w:sz w:val="22"/>
        </w:rPr>
        <w:t>OTROS MECANISMOS DE INFORMACIÓN</w:t>
      </w:r>
    </w:p>
    <w:p w:rsidR="007C37E8" w:rsidRPr="007C37E8" w:rsidRDefault="007C37E8" w:rsidP="007C37E8">
      <w:pPr>
        <w:rPr>
          <w:b/>
          <w:sz w:val="22"/>
        </w:rPr>
      </w:pPr>
      <w:r w:rsidRPr="007C37E8">
        <w:rPr>
          <w:b/>
          <w:sz w:val="22"/>
        </w:rPr>
        <w:t>Campañas y estrategias internas y externas:</w:t>
      </w:r>
    </w:p>
    <w:p w:rsidR="007C37E8" w:rsidRPr="007C37E8" w:rsidRDefault="007C37E8" w:rsidP="00442CAC">
      <w:pPr>
        <w:pStyle w:val="Prrafodelista"/>
        <w:numPr>
          <w:ilvl w:val="0"/>
          <w:numId w:val="80"/>
        </w:numPr>
        <w:spacing w:after="160"/>
        <w:ind w:left="714" w:hanging="357"/>
        <w:rPr>
          <w:b/>
          <w:sz w:val="22"/>
        </w:rPr>
      </w:pPr>
      <w:r w:rsidRPr="007C37E8">
        <w:rPr>
          <w:sz w:val="22"/>
        </w:rPr>
        <w:t xml:space="preserve">Se diseñó la estrategia externa " Carta de Trato Digno,  se publicó a través de la página WEB.  </w:t>
      </w:r>
      <w:hyperlink r:id="rId52" w:history="1">
        <w:r w:rsidRPr="007C37E8">
          <w:rPr>
            <w:rStyle w:val="Hipervnculo"/>
            <w:sz w:val="22"/>
          </w:rPr>
          <w:t>https://www.mintransporte.gov.co/descargar.php?id=5630</w:t>
        </w:r>
      </w:hyperlink>
      <w:r w:rsidRPr="007C37E8">
        <w:rPr>
          <w:sz w:val="22"/>
        </w:rPr>
        <w:t xml:space="preserve"> </w:t>
      </w:r>
    </w:p>
    <w:p w:rsidR="007C37E8" w:rsidRDefault="007C37E8" w:rsidP="00442CAC">
      <w:pPr>
        <w:pStyle w:val="Prrafodelista"/>
        <w:numPr>
          <w:ilvl w:val="0"/>
          <w:numId w:val="80"/>
        </w:numPr>
        <w:spacing w:after="160"/>
        <w:ind w:left="714" w:hanging="357"/>
        <w:rPr>
          <w:rStyle w:val="Hipervnculo"/>
          <w:sz w:val="22"/>
        </w:rPr>
      </w:pPr>
      <w:r w:rsidRPr="007C37E8">
        <w:rPr>
          <w:sz w:val="22"/>
        </w:rPr>
        <w:t xml:space="preserve">Publicación  en WEB de pieza gráfica de las Feria de Servicio al Ciudadano. </w:t>
      </w:r>
      <w:hyperlink r:id="rId53" w:history="1">
        <w:r w:rsidRPr="007C37E8">
          <w:rPr>
            <w:rStyle w:val="Hipervnculo"/>
            <w:sz w:val="22"/>
          </w:rPr>
          <w:t>https://www.mintransporte.gov.co/Publicaciones/atencion_al_ciudadano/participacion_ciudadana/participacion_ferias_nacional_del_servicio_ciudadano</w:t>
        </w:r>
      </w:hyperlink>
    </w:p>
    <w:p w:rsidR="007C37E8" w:rsidRPr="00EA6BEB" w:rsidRDefault="007C37E8" w:rsidP="00442CAC">
      <w:pPr>
        <w:pStyle w:val="Prrafodelista"/>
        <w:numPr>
          <w:ilvl w:val="0"/>
          <w:numId w:val="80"/>
        </w:numPr>
        <w:spacing w:after="160"/>
        <w:ind w:left="714" w:hanging="357"/>
        <w:rPr>
          <w:sz w:val="22"/>
          <w:u w:val="single"/>
        </w:rPr>
      </w:pPr>
      <w:r w:rsidRPr="007C37E8">
        <w:rPr>
          <w:sz w:val="22"/>
        </w:rPr>
        <w:lastRenderedPageBreak/>
        <w:t>Diseño de piezas para dar a conocer el Formulario Ciudadano (PQRS WEB) a la ciudadanía a través de  cuadernillos que se entregan a los ciudadanos en los diferentes eventos</w:t>
      </w:r>
    </w:p>
    <w:p w:rsidR="007C37E8" w:rsidRPr="007C37E8" w:rsidRDefault="007C37E8" w:rsidP="00442CAC">
      <w:pPr>
        <w:pStyle w:val="Prrafodelista"/>
        <w:numPr>
          <w:ilvl w:val="0"/>
          <w:numId w:val="80"/>
        </w:numPr>
        <w:spacing w:after="160"/>
        <w:rPr>
          <w:sz w:val="22"/>
        </w:rPr>
      </w:pPr>
      <w:r w:rsidRPr="007C37E8">
        <w:rPr>
          <w:sz w:val="22"/>
        </w:rPr>
        <w:t>Madrúguele al Plan Retorno: como apoyo a los puentes festivos en este periodo del año.</w:t>
      </w:r>
    </w:p>
    <w:p w:rsidR="007C37E8" w:rsidRPr="007C37E8" w:rsidRDefault="007C37E8" w:rsidP="00442CAC">
      <w:pPr>
        <w:pStyle w:val="Prrafodelista"/>
        <w:numPr>
          <w:ilvl w:val="0"/>
          <w:numId w:val="80"/>
        </w:numPr>
        <w:spacing w:after="160"/>
        <w:rPr>
          <w:sz w:val="22"/>
        </w:rPr>
      </w:pPr>
      <w:r w:rsidRPr="007C37E8">
        <w:rPr>
          <w:sz w:val="22"/>
        </w:rPr>
        <w:t>Demos el Primer paso: como apoyo en materia vial para l</w:t>
      </w:r>
      <w:r>
        <w:rPr>
          <w:sz w:val="22"/>
        </w:rPr>
        <w:t>a</w:t>
      </w:r>
      <w:r w:rsidRPr="007C37E8">
        <w:rPr>
          <w:sz w:val="22"/>
        </w:rPr>
        <w:t xml:space="preserve"> venida del Papa Francisco</w:t>
      </w:r>
    </w:p>
    <w:p w:rsidR="007C37E8" w:rsidRPr="007C37E8" w:rsidRDefault="007C37E8" w:rsidP="00442CAC">
      <w:pPr>
        <w:pStyle w:val="Prrafodelista"/>
        <w:numPr>
          <w:ilvl w:val="0"/>
          <w:numId w:val="80"/>
        </w:numPr>
        <w:spacing w:after="160" w:line="240" w:lineRule="auto"/>
        <w:rPr>
          <w:sz w:val="22"/>
        </w:rPr>
      </w:pPr>
      <w:r w:rsidRPr="007C37E8">
        <w:rPr>
          <w:sz w:val="22"/>
        </w:rPr>
        <w:t>El grupo de Atención al Ciudadano apoyó al grupo Prensa para realizar las siguientes campañas:</w:t>
      </w:r>
    </w:p>
    <w:p w:rsidR="007C37E8" w:rsidRPr="007C37E8" w:rsidRDefault="007C37E8" w:rsidP="007C37E8">
      <w:pPr>
        <w:ind w:left="371" w:firstLine="709"/>
        <w:contextualSpacing/>
        <w:rPr>
          <w:b/>
          <w:sz w:val="22"/>
        </w:rPr>
      </w:pPr>
      <w:r w:rsidRPr="007C37E8">
        <w:rPr>
          <w:b/>
          <w:sz w:val="22"/>
        </w:rPr>
        <w:t>Piezas y mensajes</w:t>
      </w:r>
    </w:p>
    <w:p w:rsidR="007C37E8" w:rsidRPr="007C37E8" w:rsidRDefault="007C37E8" w:rsidP="00442CAC">
      <w:pPr>
        <w:pStyle w:val="Prrafodelista"/>
        <w:numPr>
          <w:ilvl w:val="1"/>
          <w:numId w:val="81"/>
        </w:numPr>
        <w:spacing w:after="160"/>
        <w:rPr>
          <w:sz w:val="22"/>
        </w:rPr>
      </w:pPr>
      <w:r w:rsidRPr="007C37E8">
        <w:rPr>
          <w:sz w:val="22"/>
        </w:rPr>
        <w:t xml:space="preserve">Colombia en Bici </w:t>
      </w:r>
    </w:p>
    <w:p w:rsidR="007C37E8" w:rsidRPr="007C37E8" w:rsidRDefault="007C37E8" w:rsidP="00442CAC">
      <w:pPr>
        <w:pStyle w:val="Prrafodelista"/>
        <w:numPr>
          <w:ilvl w:val="1"/>
          <w:numId w:val="81"/>
        </w:numPr>
        <w:spacing w:after="160"/>
        <w:rPr>
          <w:sz w:val="22"/>
        </w:rPr>
      </w:pPr>
      <w:r w:rsidRPr="007C37E8">
        <w:rPr>
          <w:sz w:val="22"/>
        </w:rPr>
        <w:t>Día del Periodista.</w:t>
      </w:r>
    </w:p>
    <w:p w:rsidR="007C37E8" w:rsidRPr="007C37E8" w:rsidRDefault="007C37E8" w:rsidP="00442CAC">
      <w:pPr>
        <w:pStyle w:val="Prrafodelista"/>
        <w:numPr>
          <w:ilvl w:val="1"/>
          <w:numId w:val="81"/>
        </w:numPr>
        <w:spacing w:after="160"/>
        <w:jc w:val="left"/>
        <w:rPr>
          <w:sz w:val="22"/>
        </w:rPr>
      </w:pPr>
      <w:r w:rsidRPr="007C37E8">
        <w:rPr>
          <w:sz w:val="22"/>
        </w:rPr>
        <w:t>Reposición vehicular de Carga.</w:t>
      </w:r>
    </w:p>
    <w:p w:rsidR="007C37E8" w:rsidRPr="007C37E8" w:rsidRDefault="007C37E8" w:rsidP="00442CAC">
      <w:pPr>
        <w:pStyle w:val="Prrafodelista"/>
        <w:numPr>
          <w:ilvl w:val="1"/>
          <w:numId w:val="81"/>
        </w:numPr>
        <w:spacing w:after="160"/>
        <w:jc w:val="left"/>
        <w:rPr>
          <w:sz w:val="22"/>
        </w:rPr>
      </w:pPr>
      <w:r w:rsidRPr="007C37E8">
        <w:rPr>
          <w:sz w:val="22"/>
        </w:rPr>
        <w:t>Día de la Mujer.</w:t>
      </w:r>
    </w:p>
    <w:p w:rsidR="007C37E8" w:rsidRPr="007C37E8" w:rsidRDefault="007C37E8" w:rsidP="00442CAC">
      <w:pPr>
        <w:pStyle w:val="Prrafodelista"/>
        <w:numPr>
          <w:ilvl w:val="1"/>
          <w:numId w:val="81"/>
        </w:numPr>
        <w:spacing w:after="160"/>
        <w:jc w:val="left"/>
        <w:rPr>
          <w:sz w:val="22"/>
        </w:rPr>
      </w:pPr>
      <w:r w:rsidRPr="007C37E8">
        <w:rPr>
          <w:sz w:val="22"/>
        </w:rPr>
        <w:t xml:space="preserve">Lo hicimos Posible. </w:t>
      </w:r>
    </w:p>
    <w:p w:rsidR="007C37E8" w:rsidRPr="007C37E8" w:rsidRDefault="007C37E8" w:rsidP="00442CAC">
      <w:pPr>
        <w:pStyle w:val="Prrafodelista"/>
        <w:numPr>
          <w:ilvl w:val="1"/>
          <w:numId w:val="81"/>
        </w:numPr>
        <w:spacing w:after="160"/>
        <w:jc w:val="left"/>
        <w:rPr>
          <w:sz w:val="22"/>
        </w:rPr>
      </w:pPr>
      <w:r w:rsidRPr="007C37E8">
        <w:rPr>
          <w:sz w:val="22"/>
        </w:rPr>
        <w:t>Plan de Aguas 2017.</w:t>
      </w:r>
    </w:p>
    <w:p w:rsidR="007C37E8" w:rsidRPr="007C37E8" w:rsidRDefault="007C37E8" w:rsidP="00442CAC">
      <w:pPr>
        <w:pStyle w:val="Prrafodelista"/>
        <w:numPr>
          <w:ilvl w:val="1"/>
          <w:numId w:val="81"/>
        </w:numPr>
        <w:spacing w:after="160"/>
        <w:jc w:val="left"/>
        <w:rPr>
          <w:sz w:val="22"/>
        </w:rPr>
      </w:pPr>
      <w:r w:rsidRPr="007C37E8">
        <w:rPr>
          <w:sz w:val="22"/>
        </w:rPr>
        <w:t xml:space="preserve">Publicación de videos en la WEB y Redes Sociales: </w:t>
      </w:r>
    </w:p>
    <w:p w:rsidR="007C37E8" w:rsidRPr="007C37E8" w:rsidRDefault="007C37E8" w:rsidP="00442CAC">
      <w:pPr>
        <w:pStyle w:val="Prrafodelista"/>
        <w:numPr>
          <w:ilvl w:val="1"/>
          <w:numId w:val="81"/>
        </w:numPr>
        <w:spacing w:after="160"/>
        <w:jc w:val="left"/>
        <w:rPr>
          <w:sz w:val="22"/>
        </w:rPr>
      </w:pPr>
      <w:r w:rsidRPr="007C37E8">
        <w:rPr>
          <w:sz w:val="22"/>
        </w:rPr>
        <w:t>Reunión con los gerentes de sistemas de transporte y realización de entrevistas.</w:t>
      </w:r>
    </w:p>
    <w:p w:rsidR="007C37E8" w:rsidRPr="007C37E8" w:rsidRDefault="007C37E8" w:rsidP="00442CAC">
      <w:pPr>
        <w:pStyle w:val="Prrafodelista"/>
        <w:numPr>
          <w:ilvl w:val="1"/>
          <w:numId w:val="81"/>
        </w:numPr>
        <w:spacing w:after="160"/>
        <w:jc w:val="left"/>
        <w:rPr>
          <w:sz w:val="22"/>
        </w:rPr>
      </w:pPr>
      <w:r w:rsidRPr="007C37E8">
        <w:rPr>
          <w:sz w:val="22"/>
        </w:rPr>
        <w:t>Divulgación de la Ley Pro BICI, sobre motos eléctricas.</w:t>
      </w:r>
    </w:p>
    <w:p w:rsidR="007C37E8" w:rsidRPr="007C37E8" w:rsidRDefault="007C37E8" w:rsidP="00442CAC">
      <w:pPr>
        <w:pStyle w:val="Prrafodelista"/>
        <w:numPr>
          <w:ilvl w:val="1"/>
          <w:numId w:val="81"/>
        </w:numPr>
        <w:spacing w:after="160"/>
        <w:jc w:val="left"/>
        <w:rPr>
          <w:sz w:val="22"/>
        </w:rPr>
      </w:pPr>
      <w:r w:rsidRPr="007C37E8">
        <w:rPr>
          <w:sz w:val="22"/>
        </w:rPr>
        <w:t>Declaraciones sobre Ruta del Sol.</w:t>
      </w:r>
    </w:p>
    <w:p w:rsidR="007C37E8" w:rsidRPr="007C37E8" w:rsidRDefault="007C37E8" w:rsidP="00442CAC">
      <w:pPr>
        <w:pStyle w:val="Prrafodelista"/>
        <w:numPr>
          <w:ilvl w:val="1"/>
          <w:numId w:val="81"/>
        </w:numPr>
        <w:spacing w:after="160"/>
        <w:jc w:val="left"/>
        <w:rPr>
          <w:sz w:val="22"/>
        </w:rPr>
      </w:pPr>
      <w:r w:rsidRPr="007C37E8">
        <w:rPr>
          <w:sz w:val="22"/>
        </w:rPr>
        <w:t>Explicación de acuerdo sobre ciclo motor, oferta vehicular y para de transportadores.</w:t>
      </w:r>
    </w:p>
    <w:p w:rsidR="007C37E8" w:rsidRPr="007C37E8" w:rsidRDefault="007C37E8" w:rsidP="00442CAC">
      <w:pPr>
        <w:pStyle w:val="Prrafodelista"/>
        <w:numPr>
          <w:ilvl w:val="1"/>
          <w:numId w:val="81"/>
        </w:numPr>
        <w:spacing w:after="160"/>
        <w:jc w:val="left"/>
        <w:rPr>
          <w:sz w:val="22"/>
        </w:rPr>
      </w:pPr>
      <w:r w:rsidRPr="007C37E8">
        <w:rPr>
          <w:sz w:val="22"/>
        </w:rPr>
        <w:t>Reunión de Gobernadores y entrevistas.</w:t>
      </w:r>
    </w:p>
    <w:p w:rsidR="007C37E8" w:rsidRPr="007C37E8" w:rsidRDefault="007C37E8" w:rsidP="00442CAC">
      <w:pPr>
        <w:pStyle w:val="Prrafodelista"/>
        <w:numPr>
          <w:ilvl w:val="1"/>
          <w:numId w:val="81"/>
        </w:numPr>
        <w:spacing w:after="160"/>
        <w:jc w:val="left"/>
        <w:rPr>
          <w:sz w:val="22"/>
        </w:rPr>
      </w:pPr>
      <w:r w:rsidRPr="007C37E8">
        <w:rPr>
          <w:sz w:val="22"/>
        </w:rPr>
        <w:t>Difusión de las nuevas plataformas del aeropuerto Internacional El Dorado.</w:t>
      </w:r>
    </w:p>
    <w:p w:rsidR="007C37E8" w:rsidRPr="00EA6BEB" w:rsidRDefault="007C37E8" w:rsidP="007C37E8">
      <w:pPr>
        <w:spacing w:after="120"/>
        <w:contextualSpacing/>
        <w:rPr>
          <w:rFonts w:cs="Arial"/>
          <w:b/>
          <w:bCs/>
          <w:sz w:val="22"/>
        </w:rPr>
      </w:pPr>
      <w:r w:rsidRPr="007C37E8">
        <w:rPr>
          <w:sz w:val="22"/>
        </w:rPr>
        <w:t>Publicación de piezas para informar al ciudadano los diferentes acontecimientos que afecten la atención, programados por el Ministerio.</w:t>
      </w:r>
    </w:p>
    <w:p w:rsidR="007C37E8" w:rsidRPr="007C37E8" w:rsidRDefault="007C37E8" w:rsidP="007C37E8">
      <w:pPr>
        <w:spacing w:after="120"/>
        <w:contextualSpacing/>
        <w:rPr>
          <w:rFonts w:eastAsia="Times New Roman" w:cstheme="minorHAnsi"/>
          <w:b/>
          <w:bCs/>
          <w:sz w:val="16"/>
          <w:lang w:val="es-ES_tradnl"/>
        </w:rPr>
      </w:pPr>
    </w:p>
    <w:p w:rsidR="007C37E8" w:rsidRDefault="007C37E8" w:rsidP="007C37E8">
      <w:pPr>
        <w:spacing w:after="120"/>
        <w:contextualSpacing/>
        <w:rPr>
          <w:sz w:val="22"/>
          <w:lang w:val="es-ES_tradnl" w:eastAsia="ko-KR"/>
        </w:rPr>
      </w:pPr>
      <w:r w:rsidRPr="007C37E8">
        <w:rPr>
          <w:rFonts w:eastAsia="Times New Roman" w:cstheme="minorHAnsi"/>
          <w:b/>
          <w:bCs/>
          <w:sz w:val="22"/>
          <w:lang w:val="es-ES_tradnl"/>
        </w:rPr>
        <w:t>Estadísticas</w:t>
      </w:r>
      <w:r>
        <w:rPr>
          <w:rFonts w:eastAsia="Times New Roman" w:cstheme="minorHAnsi"/>
          <w:b/>
          <w:bCs/>
          <w:sz w:val="22"/>
          <w:lang w:val="es-ES_tradnl"/>
        </w:rPr>
        <w:t xml:space="preserve"> de atención: </w:t>
      </w:r>
      <w:r w:rsidRPr="007C37E8">
        <w:rPr>
          <w:sz w:val="22"/>
          <w:lang w:val="es-ES_tradnl" w:eastAsia="ko-KR"/>
        </w:rPr>
        <w:t>La actividad de atención de preguntas, quejas, reclamos y solicitudes recibidas de la ciudadanía es permanente. Se atendieron requerimientos por los diferentes canales (telefónico, correo electrónico, call-center, PBX y chat).</w:t>
      </w:r>
    </w:p>
    <w:p w:rsidR="007C37E8" w:rsidRPr="007C37E8" w:rsidRDefault="007C37E8" w:rsidP="007C37E8">
      <w:pPr>
        <w:spacing w:after="120"/>
        <w:contextualSpacing/>
        <w:rPr>
          <w:sz w:val="16"/>
          <w:lang w:val="es-ES_tradnl" w:eastAsia="ko-KR"/>
        </w:rPr>
      </w:pPr>
    </w:p>
    <w:p w:rsidR="007C37E8" w:rsidRPr="007C37E8" w:rsidRDefault="007C37E8" w:rsidP="007C37E8">
      <w:pPr>
        <w:spacing w:after="120"/>
        <w:contextualSpacing/>
        <w:rPr>
          <w:rFonts w:cs="Arial"/>
          <w:sz w:val="22"/>
          <w:lang w:val="es-ES_tradnl" w:eastAsia="ko-KR"/>
        </w:rPr>
      </w:pPr>
      <w:r w:rsidRPr="007C37E8">
        <w:rPr>
          <w:sz w:val="22"/>
          <w:lang w:val="es-ES_tradnl" w:eastAsia="ko-KR"/>
        </w:rPr>
        <w:lastRenderedPageBreak/>
        <w:t>La gestión realizada en relación con la atención puede apreciarse en los siguientes gráficos</w:t>
      </w:r>
    </w:p>
    <w:p w:rsidR="00371447" w:rsidRPr="007C37E8" w:rsidRDefault="00371447" w:rsidP="007C37E8">
      <w:pPr>
        <w:contextualSpacing/>
        <w:rPr>
          <w:rFonts w:eastAsia="Times New Roman" w:cs="Arial"/>
          <w:b/>
          <w:bCs/>
          <w:sz w:val="22"/>
          <w:lang w:val="es-CO"/>
        </w:rPr>
      </w:pPr>
    </w:p>
    <w:p w:rsidR="009B2F60" w:rsidRDefault="009B2F60" w:rsidP="009B2F60">
      <w:pPr>
        <w:jc w:val="center"/>
        <w:rPr>
          <w:rFonts w:eastAsia="Times New Roman" w:cs="Arial"/>
          <w:b/>
          <w:bCs/>
          <w:color w:val="336699"/>
          <w:sz w:val="22"/>
          <w:lang w:val="es-CO"/>
        </w:rPr>
      </w:pPr>
      <w:r w:rsidRPr="00A02508">
        <w:rPr>
          <w:rFonts w:ascii="Futura Bk BT" w:hAnsi="Futura Bk BT"/>
          <w:noProof/>
          <w:lang w:val="es-CO" w:eastAsia="es-CO"/>
        </w:rPr>
        <w:drawing>
          <wp:inline distT="0" distB="0" distL="0" distR="0" wp14:anchorId="45B82184" wp14:editId="43EA9E31">
            <wp:extent cx="3648075" cy="4910216"/>
            <wp:effectExtent l="0" t="0" r="0" b="5080"/>
            <wp:docPr id="2" name="Imagen 2" descr="C:\Users\msantos\AppData\Local\Microsoft\Windows\INetCache\Content.Outlook\7DXGV9SQ\acumulados-atenciones-trimestrales-Atención-al-Ciudadano-dic-3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ntos\AppData\Local\Microsoft\Windows\INetCache\Content.Outlook\7DXGV9SQ\acumulados-atenciones-trimestrales-Atención-al-Ciudadano-dic-31-20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60407" cy="4926814"/>
                    </a:xfrm>
                    <a:prstGeom prst="rect">
                      <a:avLst/>
                    </a:prstGeom>
                    <a:noFill/>
                    <a:ln>
                      <a:noFill/>
                    </a:ln>
                  </pic:spPr>
                </pic:pic>
              </a:graphicData>
            </a:graphic>
          </wp:inline>
        </w:drawing>
      </w:r>
    </w:p>
    <w:p w:rsidR="009B2F60" w:rsidRPr="007C37E8" w:rsidRDefault="007C37E8" w:rsidP="007C37E8">
      <w:pPr>
        <w:contextualSpacing/>
        <w:jc w:val="center"/>
        <w:rPr>
          <w:rFonts w:eastAsia="Times New Roman" w:cs="Arial"/>
          <w:b/>
          <w:bCs/>
          <w:color w:val="336699"/>
          <w:sz w:val="18"/>
          <w:lang w:val="es-CO"/>
        </w:rPr>
      </w:pPr>
      <w:r w:rsidRPr="007C37E8">
        <w:rPr>
          <w:sz w:val="14"/>
          <w:szCs w:val="18"/>
          <w:lang w:eastAsia="ko-KR"/>
        </w:rPr>
        <w:t>Fuente: Grupo de Atención al Ciudadano – Secretaría General</w:t>
      </w:r>
    </w:p>
    <w:p w:rsidR="00EF770A" w:rsidRPr="00E75C1A" w:rsidRDefault="00EF770A" w:rsidP="00E75C1A">
      <w:pPr>
        <w:rPr>
          <w:rFonts w:cs="Arial"/>
          <w:sz w:val="22"/>
        </w:rPr>
      </w:pPr>
    </w:p>
    <w:p w:rsidR="00EF770A" w:rsidRPr="007E3988" w:rsidRDefault="00EF770A" w:rsidP="007F2796">
      <w:pPr>
        <w:rPr>
          <w:rFonts w:cs="Arial"/>
          <w:sz w:val="22"/>
        </w:rPr>
      </w:pPr>
    </w:p>
    <w:p w:rsidR="007C37E8" w:rsidRDefault="007C37E8" w:rsidP="007C37E8">
      <w:pPr>
        <w:pStyle w:val="Sinespaciado"/>
        <w:spacing w:line="360" w:lineRule="auto"/>
        <w:contextualSpacing/>
        <w:jc w:val="both"/>
        <w:rPr>
          <w:rFonts w:ascii="Arial" w:hAnsi="Arial" w:cs="Arial"/>
        </w:rPr>
      </w:pPr>
      <w:r w:rsidRPr="007C37E8">
        <w:rPr>
          <w:rFonts w:ascii="Arial" w:eastAsia="Times New Roman" w:hAnsi="Arial" w:cs="Arial"/>
          <w:b/>
          <w:bCs/>
          <w:lang w:val="es-ES_tradnl"/>
        </w:rPr>
        <w:t>Medición de la satisfacción</w:t>
      </w:r>
      <w:r>
        <w:rPr>
          <w:rFonts w:ascii="Arial" w:eastAsia="Times New Roman" w:hAnsi="Arial" w:cs="Arial"/>
          <w:b/>
          <w:bCs/>
          <w:lang w:val="es-ES_tradnl"/>
        </w:rPr>
        <w:t xml:space="preserve">: </w:t>
      </w:r>
      <w:r w:rsidRPr="007C37E8">
        <w:rPr>
          <w:rFonts w:ascii="Arial" w:hAnsi="Arial" w:cs="Arial"/>
          <w:lang w:val="es-ES_tradnl" w:eastAsia="ko-KR"/>
        </w:rPr>
        <w:t>Medir  el nivel de satisfacción de los servicios prestados por el MT y la percepción de los ciudadanos nivel nacional, es una actividad que persigue identificar los aspectos en los que se pueden mejorar los mecanismos de comunicación y diálogo con las partes interesadas en la gestión pública, en particular con el Sector Transport</w:t>
      </w:r>
      <w:r>
        <w:rPr>
          <w:rFonts w:ascii="Arial" w:hAnsi="Arial" w:cs="Arial"/>
          <w:lang w:val="es-ES_tradnl" w:eastAsia="ko-KR"/>
        </w:rPr>
        <w:t xml:space="preserve">e, mediante acciones de mejora. </w:t>
      </w:r>
      <w:r w:rsidRPr="007C37E8">
        <w:rPr>
          <w:rFonts w:ascii="Arial" w:hAnsi="Arial" w:cs="Arial"/>
        </w:rPr>
        <w:t xml:space="preserve">A lo largo del año 2017, se  continúa aplicando la encuesta de satisfacción a nivel nacional, la cual arrojó un resultado del 4.68 sobre 5. </w:t>
      </w:r>
      <w:r w:rsidRPr="007C37E8">
        <w:rPr>
          <w:rFonts w:ascii="Arial" w:hAnsi="Arial" w:cs="Arial"/>
        </w:rPr>
        <w:lastRenderedPageBreak/>
        <w:t>Una vez actualizado el procedimiento de medición de la satisfacción en el Sistema de Gestión Integrado, se aplicará el nuevo método para la medición</w:t>
      </w:r>
      <w:r>
        <w:rPr>
          <w:rFonts w:ascii="Arial" w:hAnsi="Arial" w:cs="Arial"/>
        </w:rPr>
        <w:t>.</w:t>
      </w:r>
    </w:p>
    <w:p w:rsidR="007C37E8" w:rsidRDefault="007C37E8" w:rsidP="007C37E8">
      <w:pPr>
        <w:pStyle w:val="Sinespaciado"/>
        <w:spacing w:line="360" w:lineRule="auto"/>
        <w:contextualSpacing/>
        <w:jc w:val="both"/>
        <w:rPr>
          <w:rFonts w:ascii="Arial" w:hAnsi="Arial" w:cs="Arial"/>
        </w:rPr>
      </w:pPr>
    </w:p>
    <w:p w:rsidR="00907221" w:rsidRPr="00907221" w:rsidRDefault="00907221" w:rsidP="00907221">
      <w:pPr>
        <w:pStyle w:val="Sinespaciado"/>
        <w:spacing w:line="360" w:lineRule="auto"/>
        <w:contextualSpacing/>
        <w:jc w:val="both"/>
        <w:rPr>
          <w:rFonts w:ascii="Arial" w:hAnsi="Arial" w:cs="Arial"/>
          <w:lang w:val="es-ES_tradnl" w:eastAsia="ko-KR"/>
        </w:rPr>
      </w:pPr>
      <w:r w:rsidRPr="00907221">
        <w:rPr>
          <w:rFonts w:ascii="Arial" w:eastAsia="Times New Roman" w:hAnsi="Arial" w:cs="Arial"/>
          <w:b/>
          <w:bCs/>
          <w:lang w:val="es-ES_tradnl"/>
        </w:rPr>
        <w:t>Ferias nacionales de servicio al ciudadano</w:t>
      </w:r>
      <w:r>
        <w:rPr>
          <w:rFonts w:ascii="Arial" w:eastAsia="Times New Roman" w:hAnsi="Arial" w:cs="Arial"/>
          <w:b/>
          <w:bCs/>
          <w:lang w:val="es-ES_tradnl"/>
        </w:rPr>
        <w:t xml:space="preserve">: </w:t>
      </w:r>
      <w:r w:rsidRPr="00907221">
        <w:rPr>
          <w:rFonts w:ascii="Arial" w:hAnsi="Arial" w:cs="Arial"/>
          <w:lang w:val="es-ES_tradnl" w:eastAsia="ko-KR"/>
        </w:rPr>
        <w:t>Con base en la política de Gobierno establecida para Gobierno en Línea y Servicio al Ciudadano, el Departamento Nacional de Planeación –DNP- formuló el programa Ferias Nacionales de Servicio al Ciudadano.</w:t>
      </w:r>
    </w:p>
    <w:p w:rsidR="00907221" w:rsidRPr="00907221" w:rsidRDefault="00907221" w:rsidP="00907221">
      <w:pPr>
        <w:spacing w:after="120"/>
        <w:contextualSpacing/>
        <w:rPr>
          <w:rFonts w:cs="Arial"/>
          <w:sz w:val="22"/>
          <w:lang w:val="es-ES_tradnl" w:eastAsia="ko-KR"/>
        </w:rPr>
      </w:pPr>
      <w:r w:rsidRPr="00907221">
        <w:rPr>
          <w:rFonts w:cs="Arial"/>
          <w:sz w:val="22"/>
          <w:lang w:val="es-ES_tradnl" w:eastAsia="ko-KR"/>
        </w:rPr>
        <w:t>Las Ferias Nacionales de Servicio al Ciudadano son una iniciativa liderada por el “Programa Nacional de Servicio al Ciudadano” del DNP y apoyada por la Alta Consejería Presidencial para el Buen Gobierno y la Eficiencia Administrativa, que articula a las entidades de la Administración Pública Nacional –APN-, con el propósito de acercar el Estado al territorio y de facilitar el acceso a todos los servicios, trámites, programas y campañas que ofrecen las diferentes entidades de la APN.</w:t>
      </w:r>
    </w:p>
    <w:p w:rsidR="007C37E8" w:rsidRPr="00907221" w:rsidRDefault="00907221" w:rsidP="00907221">
      <w:pPr>
        <w:pStyle w:val="Sinespaciado"/>
        <w:spacing w:line="360" w:lineRule="auto"/>
        <w:contextualSpacing/>
        <w:jc w:val="both"/>
        <w:rPr>
          <w:rFonts w:ascii="Arial" w:hAnsi="Arial" w:cs="Arial"/>
        </w:rPr>
      </w:pPr>
      <w:r w:rsidRPr="00907221">
        <w:rPr>
          <w:rFonts w:ascii="Arial" w:hAnsi="Arial" w:cs="Arial"/>
        </w:rPr>
        <w:t>En la vigencia 2017, el Ministerio de Transporte a través del grupo de Atención al Ciudadano, ha participado en las siguientes ferias nacionales de servicio al ciudadano en las ciudades de Carmen de Bolívar- Bolívar, Ipiales-Nariño,  La Dorada- Caldas, Santa Rosa de Cabal – Risaralda y Sogamoso- Boyacá se brindó información de trámites y servicios a 486  personas</w:t>
      </w:r>
    </w:p>
    <w:p w:rsidR="007C37E8" w:rsidRDefault="007C37E8" w:rsidP="007F2796">
      <w:pPr>
        <w:rPr>
          <w:rFonts w:cs="Arial"/>
          <w:sz w:val="22"/>
        </w:rPr>
      </w:pPr>
    </w:p>
    <w:p w:rsidR="00EF770A" w:rsidRPr="00907221" w:rsidRDefault="005E130B" w:rsidP="007F2796">
      <w:pPr>
        <w:rPr>
          <w:rFonts w:cs="Arial"/>
          <w:b/>
          <w:sz w:val="22"/>
        </w:rPr>
      </w:pPr>
      <w:r w:rsidRPr="00907221">
        <w:rPr>
          <w:rFonts w:cs="Arial"/>
          <w:b/>
          <w:sz w:val="22"/>
        </w:rPr>
        <w:t>Retos 2018</w:t>
      </w:r>
    </w:p>
    <w:p w:rsidR="005E130B" w:rsidRPr="005E130B" w:rsidRDefault="005E130B" w:rsidP="00442CAC">
      <w:pPr>
        <w:pStyle w:val="Prrafodelista"/>
        <w:numPr>
          <w:ilvl w:val="0"/>
          <w:numId w:val="75"/>
        </w:numPr>
        <w:rPr>
          <w:rFonts w:eastAsia="Times New Roman" w:cs="Arial"/>
          <w:bCs/>
          <w:sz w:val="22"/>
          <w:lang w:val="es-CO"/>
        </w:rPr>
      </w:pPr>
      <w:r w:rsidRPr="005E130B">
        <w:rPr>
          <w:rFonts w:eastAsia="Times New Roman" w:cs="Arial"/>
          <w:bCs/>
          <w:sz w:val="22"/>
          <w:lang w:val="es-CO"/>
        </w:rPr>
        <w:t xml:space="preserve">Implementar un Sistema de Asignación de Turnos en las direcciones territoriales  </w:t>
      </w:r>
      <w:r w:rsidR="00EA6BEB" w:rsidRPr="005E130B">
        <w:rPr>
          <w:rFonts w:eastAsia="Times New Roman" w:cs="Arial"/>
          <w:bCs/>
          <w:sz w:val="22"/>
          <w:lang w:val="es-CO"/>
        </w:rPr>
        <w:t>Atlántico</w:t>
      </w:r>
      <w:r w:rsidRPr="005E130B">
        <w:rPr>
          <w:rFonts w:eastAsia="Times New Roman" w:cs="Arial"/>
          <w:bCs/>
          <w:sz w:val="22"/>
          <w:lang w:val="es-CO"/>
        </w:rPr>
        <w:t xml:space="preserve"> y Antioquia.</w:t>
      </w:r>
    </w:p>
    <w:p w:rsidR="005E130B" w:rsidRPr="005E130B" w:rsidRDefault="005E130B" w:rsidP="00442CAC">
      <w:pPr>
        <w:pStyle w:val="Prrafodelista"/>
        <w:numPr>
          <w:ilvl w:val="0"/>
          <w:numId w:val="75"/>
        </w:numPr>
        <w:rPr>
          <w:rFonts w:eastAsia="Times New Roman" w:cs="Arial"/>
          <w:bCs/>
          <w:sz w:val="22"/>
          <w:lang w:val="es-CO"/>
        </w:rPr>
      </w:pPr>
      <w:r w:rsidRPr="005E130B">
        <w:rPr>
          <w:rFonts w:eastAsia="Times New Roman" w:cs="Arial"/>
          <w:bCs/>
          <w:sz w:val="22"/>
          <w:lang w:val="es-CO"/>
        </w:rPr>
        <w:t>Con la información emanada del sistema de asignación de turnos en Planta Central implementar un sistema de estadísticas certero, en cuanto a PQRS-WEB y físicas, niveles de respuesta y alertas.</w:t>
      </w:r>
    </w:p>
    <w:p w:rsidR="005E130B" w:rsidRPr="005E130B" w:rsidRDefault="005E130B" w:rsidP="00442CAC">
      <w:pPr>
        <w:pStyle w:val="Prrafodelista"/>
        <w:numPr>
          <w:ilvl w:val="0"/>
          <w:numId w:val="75"/>
        </w:numPr>
        <w:rPr>
          <w:rFonts w:eastAsia="Times New Roman" w:cs="Arial"/>
          <w:bCs/>
          <w:sz w:val="22"/>
          <w:lang w:val="es-CO"/>
        </w:rPr>
      </w:pPr>
      <w:r w:rsidRPr="005E130B">
        <w:rPr>
          <w:rFonts w:eastAsia="Times New Roman" w:cs="Arial"/>
          <w:bCs/>
          <w:sz w:val="22"/>
          <w:lang w:val="es-CO"/>
        </w:rPr>
        <w:t>Actualizar la documentación en el Sistema de Gestión Integrado de la Entidad incluyendo el aplicativo de PQRS-WEB, programa de escucha del Ministerio de Transporte (medición de la satisfacción) y asignación de turno en planta central.</w:t>
      </w:r>
    </w:p>
    <w:p w:rsidR="005E130B" w:rsidRPr="005E130B" w:rsidRDefault="005E130B" w:rsidP="00442CAC">
      <w:pPr>
        <w:pStyle w:val="Prrafodelista"/>
        <w:numPr>
          <w:ilvl w:val="0"/>
          <w:numId w:val="75"/>
        </w:numPr>
        <w:rPr>
          <w:rFonts w:eastAsia="Times New Roman" w:cs="Arial"/>
          <w:bCs/>
          <w:sz w:val="22"/>
          <w:lang w:val="es-CO"/>
        </w:rPr>
      </w:pPr>
      <w:r w:rsidRPr="005E130B">
        <w:rPr>
          <w:rFonts w:eastAsia="Times New Roman" w:cs="Arial"/>
          <w:bCs/>
          <w:sz w:val="22"/>
          <w:lang w:val="es-CO"/>
        </w:rPr>
        <w:t>Conjuntamente con los grupos de Gestión, documental, Informática y Reposición Vehicular desarrollar la respuesta tipo en el Grupo de Reposición Vehicular para los casos de devolución y demás</w:t>
      </w:r>
    </w:p>
    <w:p w:rsidR="005E130B" w:rsidRPr="0028674D" w:rsidRDefault="005E130B" w:rsidP="007F2796">
      <w:pPr>
        <w:rPr>
          <w:rFonts w:eastAsia="Times New Roman" w:cs="Arial"/>
          <w:b/>
          <w:bCs/>
          <w:sz w:val="22"/>
          <w:lang w:val="es-CO"/>
        </w:rPr>
      </w:pPr>
    </w:p>
    <w:p w:rsidR="00371447" w:rsidRPr="00E07195" w:rsidRDefault="00371447" w:rsidP="00E07195">
      <w:pPr>
        <w:rPr>
          <w:sz w:val="22"/>
          <w:u w:val="single"/>
          <w:lang w:val="es-ES_tradnl"/>
        </w:rPr>
      </w:pPr>
      <w:bookmarkStart w:id="214" w:name="_Toc410332727"/>
      <w:bookmarkStart w:id="215" w:name="_Toc473412392"/>
      <w:bookmarkStart w:id="216" w:name="_Toc473412542"/>
      <w:r w:rsidRPr="00006404">
        <w:rPr>
          <w:sz w:val="22"/>
          <w:u w:val="single"/>
          <w:lang w:val="es-ES_tradnl"/>
        </w:rPr>
        <w:t>Componente DIÁLOGO – Tema MESAS DE TRABAJO</w:t>
      </w:r>
      <w:bookmarkEnd w:id="214"/>
      <w:bookmarkEnd w:id="215"/>
      <w:bookmarkEnd w:id="216"/>
    </w:p>
    <w:p w:rsidR="00006404" w:rsidRPr="00907221" w:rsidRDefault="00006404" w:rsidP="00E07195">
      <w:pPr>
        <w:rPr>
          <w:sz w:val="22"/>
          <w:u w:val="single"/>
          <w:lang w:val="es-ES_tradnl"/>
        </w:rPr>
      </w:pPr>
      <w:bookmarkStart w:id="217" w:name="_Toc410332728"/>
      <w:bookmarkStart w:id="218" w:name="_Toc473412393"/>
      <w:bookmarkStart w:id="219" w:name="_Toc473412543"/>
    </w:p>
    <w:p w:rsidR="00006404" w:rsidRDefault="00907221" w:rsidP="00907221">
      <w:pPr>
        <w:rPr>
          <w:sz w:val="22"/>
          <w:lang w:eastAsia="ko-KR"/>
        </w:rPr>
      </w:pPr>
      <w:r w:rsidRPr="00907221">
        <w:rPr>
          <w:sz w:val="22"/>
          <w:lang w:eastAsia="ko-KR"/>
        </w:rPr>
        <w:t>La realización de mesas de trabajo temáticas con el fin de construir colectivamente esquemas de ejecución para programas y proyectos de infraestructura y documentos regulatorios acerca del tránsito y el transporte, permitió un acercamiento real con autoridades locales, comunidades, gremios y la ciudadanía en general, y dio al Ministerio y al sector transporte la opción de contar con los aportes, comentarios, propuestas y sugerencias de las partes interesadas, a través de espacios de discusión e interacción que llevan a acuerdos sólidos y duraderos.</w:t>
      </w:r>
      <w:r>
        <w:rPr>
          <w:sz w:val="22"/>
          <w:lang w:eastAsia="ko-KR"/>
        </w:rPr>
        <w:t xml:space="preserve"> </w:t>
      </w:r>
      <w:r w:rsidRPr="00907221">
        <w:rPr>
          <w:sz w:val="22"/>
          <w:lang w:eastAsia="ko-KR"/>
        </w:rPr>
        <w:t>Se dispone de un amplísimo soporte documental de estas reuniones, como actas, informes, li</w:t>
      </w:r>
      <w:r>
        <w:rPr>
          <w:sz w:val="22"/>
          <w:lang w:eastAsia="ko-KR"/>
        </w:rPr>
        <w:t>stas de asistencia, entre otras.</w:t>
      </w:r>
    </w:p>
    <w:p w:rsidR="00A7088E" w:rsidRDefault="00A7088E" w:rsidP="00907221">
      <w:pPr>
        <w:rPr>
          <w:sz w:val="22"/>
          <w:lang w:eastAsia="ko-KR"/>
        </w:rPr>
      </w:pPr>
    </w:p>
    <w:p w:rsidR="00A7088E" w:rsidRDefault="00A7088E" w:rsidP="00A7088E">
      <w:pPr>
        <w:contextualSpacing/>
        <w:rPr>
          <w:sz w:val="22"/>
          <w:lang w:eastAsia="ko-KR"/>
        </w:rPr>
      </w:pPr>
      <w:r w:rsidRPr="00A7088E">
        <w:rPr>
          <w:b/>
          <w:sz w:val="22"/>
          <w:lang w:eastAsia="ko-KR"/>
        </w:rPr>
        <w:t>Mesas de trabajo con comunidades indígenas</w:t>
      </w:r>
      <w:r>
        <w:rPr>
          <w:b/>
          <w:sz w:val="22"/>
          <w:lang w:eastAsia="ko-KR"/>
        </w:rPr>
        <w:t xml:space="preserve">: </w:t>
      </w:r>
      <w:r w:rsidRPr="00A7088E">
        <w:rPr>
          <w:sz w:val="22"/>
          <w:lang w:eastAsia="ko-KR"/>
        </w:rPr>
        <w:t>Su propósito fue acompañar a las comunidades indígenas en el fortalecimiento institucional, para la identificación y priorización de sus corredores ancestrales, desarrollar capacitaciones en formulación y estructuración de proyectos, para dar cumplimiento al PND 2015-2018, y solicitar recursos a las diferentes fuentes de financiación del Gobierno Nacional.</w:t>
      </w:r>
    </w:p>
    <w:p w:rsidR="00A7088E" w:rsidRPr="00A7088E" w:rsidRDefault="00A7088E" w:rsidP="00A7088E">
      <w:pPr>
        <w:contextualSpacing/>
        <w:rPr>
          <w:sz w:val="22"/>
          <w:lang w:eastAsia="ko-KR"/>
        </w:rPr>
      </w:pPr>
    </w:p>
    <w:p w:rsidR="00A7088E" w:rsidRDefault="00A7088E" w:rsidP="00A7088E">
      <w:pPr>
        <w:contextualSpacing/>
        <w:rPr>
          <w:sz w:val="22"/>
          <w:lang w:eastAsia="ko-KR"/>
        </w:rPr>
      </w:pPr>
      <w:r w:rsidRPr="00A7088E">
        <w:rPr>
          <w:sz w:val="22"/>
          <w:lang w:eastAsia="ko-KR"/>
        </w:rPr>
        <w:t>Dentro de las actividades se adelantaron diferentes reuniones de acuerdo con las invitaciones del Ministerio del Interior, de otras entidades del Gobierno Nacional, y organizaciones indígenas y afrodescendientes, para apoyar en diferentes temas que involucran a comunidades indígenas y afrodescendientes del territorio Nacional.</w:t>
      </w:r>
    </w:p>
    <w:p w:rsidR="00A7088E" w:rsidRPr="00A7088E" w:rsidRDefault="00A7088E" w:rsidP="00A7088E">
      <w:pPr>
        <w:contextualSpacing/>
        <w:rPr>
          <w:sz w:val="22"/>
          <w:lang w:eastAsia="ko-KR"/>
        </w:rPr>
      </w:pPr>
    </w:p>
    <w:p w:rsidR="00A7088E" w:rsidRPr="00A7088E" w:rsidRDefault="00A7088E" w:rsidP="00A7088E">
      <w:pPr>
        <w:contextualSpacing/>
        <w:rPr>
          <w:sz w:val="22"/>
          <w:lang w:eastAsia="ko-KR"/>
        </w:rPr>
      </w:pPr>
      <w:r w:rsidRPr="00A7088E">
        <w:rPr>
          <w:sz w:val="22"/>
          <w:lang w:eastAsia="ko-KR"/>
        </w:rPr>
        <w:t>En desarrollo de lo anteriormente expuesto se realizan las siguientes actividades:</w:t>
      </w:r>
    </w:p>
    <w:p w:rsidR="00A7088E" w:rsidRPr="00A7088E" w:rsidRDefault="00A7088E" w:rsidP="00A7088E">
      <w:pPr>
        <w:contextualSpacing/>
        <w:rPr>
          <w:sz w:val="22"/>
          <w:lang w:eastAsia="ko-KR"/>
        </w:rPr>
      </w:pPr>
      <w:r>
        <w:rPr>
          <w:sz w:val="22"/>
          <w:lang w:eastAsia="ko-KR"/>
        </w:rPr>
        <w:t xml:space="preserve">1. </w:t>
      </w:r>
      <w:r w:rsidRPr="00A7088E">
        <w:rPr>
          <w:sz w:val="22"/>
          <w:lang w:eastAsia="ko-KR"/>
        </w:rPr>
        <w:t>Acompañamiento a las diferentes secciones de cumbre agraria y campesina en los Departamentos de Chocó y Cauca.</w:t>
      </w:r>
    </w:p>
    <w:p w:rsidR="00A7088E" w:rsidRPr="00A7088E" w:rsidRDefault="00A7088E" w:rsidP="00A7088E">
      <w:pPr>
        <w:contextualSpacing/>
        <w:rPr>
          <w:sz w:val="22"/>
          <w:lang w:eastAsia="ko-KR"/>
        </w:rPr>
      </w:pPr>
      <w:r>
        <w:rPr>
          <w:sz w:val="22"/>
          <w:lang w:eastAsia="ko-KR"/>
        </w:rPr>
        <w:t xml:space="preserve">2. </w:t>
      </w:r>
      <w:r w:rsidRPr="00A7088E">
        <w:rPr>
          <w:sz w:val="22"/>
          <w:lang w:eastAsia="ko-KR"/>
        </w:rPr>
        <w:t>Acompañamiento a comité por la dignidad Indígena y afrodescendiente del Departamento del Chocó.</w:t>
      </w:r>
    </w:p>
    <w:p w:rsidR="00A7088E" w:rsidRPr="00A7088E" w:rsidRDefault="00A7088E" w:rsidP="00A7088E">
      <w:pPr>
        <w:rPr>
          <w:sz w:val="22"/>
          <w:lang w:eastAsia="ko-KR"/>
        </w:rPr>
      </w:pPr>
      <w:r>
        <w:rPr>
          <w:sz w:val="22"/>
          <w:lang w:eastAsia="ko-KR"/>
        </w:rPr>
        <w:t xml:space="preserve">3. </w:t>
      </w:r>
      <w:r w:rsidRPr="00A7088E">
        <w:rPr>
          <w:sz w:val="22"/>
          <w:lang w:eastAsia="ko-KR"/>
        </w:rPr>
        <w:t>Participación en las MPC, para adelantar seguimiento a los compromisos del Plan Nacional de Desarrollo 2014-2018, “Todos por un Nuevo País”, y continuar con la negociación de indicadores.</w:t>
      </w:r>
    </w:p>
    <w:p w:rsidR="00A7088E" w:rsidRPr="00A7088E" w:rsidRDefault="00A7088E" w:rsidP="00A7088E">
      <w:pPr>
        <w:rPr>
          <w:sz w:val="22"/>
          <w:lang w:eastAsia="ko-KR"/>
        </w:rPr>
      </w:pPr>
      <w:r>
        <w:rPr>
          <w:sz w:val="22"/>
          <w:lang w:eastAsia="ko-KR"/>
        </w:rPr>
        <w:t xml:space="preserve">4. </w:t>
      </w:r>
      <w:r w:rsidRPr="00A7088E">
        <w:rPr>
          <w:sz w:val="22"/>
          <w:lang w:eastAsia="ko-KR"/>
        </w:rPr>
        <w:t>Seguimiento a la sentencia T462A  de 2014, Hidroeléctrica de Salvajina, Suarez y Morales, Cauca.</w:t>
      </w:r>
    </w:p>
    <w:p w:rsidR="00A7088E" w:rsidRPr="00A7088E" w:rsidRDefault="00A7088E" w:rsidP="00A7088E">
      <w:pPr>
        <w:rPr>
          <w:sz w:val="22"/>
          <w:lang w:eastAsia="ko-KR"/>
        </w:rPr>
      </w:pPr>
      <w:r>
        <w:rPr>
          <w:sz w:val="22"/>
          <w:lang w:eastAsia="ko-KR"/>
        </w:rPr>
        <w:lastRenderedPageBreak/>
        <w:t xml:space="preserve">5. </w:t>
      </w:r>
      <w:r w:rsidRPr="00A7088E">
        <w:rPr>
          <w:sz w:val="22"/>
          <w:lang w:eastAsia="ko-KR"/>
        </w:rPr>
        <w:t>Acompañamiento a la movilización de mujeres afrodescendientes caucanas por el cuidado de la vida y los territorios ancestrales.</w:t>
      </w:r>
    </w:p>
    <w:p w:rsidR="00A7088E" w:rsidRPr="00A7088E" w:rsidRDefault="00A7088E" w:rsidP="00A7088E">
      <w:pPr>
        <w:rPr>
          <w:sz w:val="22"/>
          <w:lang w:eastAsia="ko-KR"/>
        </w:rPr>
      </w:pPr>
      <w:r>
        <w:rPr>
          <w:sz w:val="22"/>
          <w:lang w:eastAsia="ko-KR"/>
        </w:rPr>
        <w:t xml:space="preserve">6. </w:t>
      </w:r>
      <w:r w:rsidRPr="00A7088E">
        <w:rPr>
          <w:sz w:val="22"/>
          <w:lang w:eastAsia="ko-KR"/>
        </w:rPr>
        <w:t xml:space="preserve">Mesas de trabajo a los planes de salvaguardia en las comunidades indígenas del Departamento de Cauca. </w:t>
      </w:r>
    </w:p>
    <w:p w:rsidR="00A7088E" w:rsidRPr="00A7088E" w:rsidRDefault="00A7088E" w:rsidP="00A7088E">
      <w:pPr>
        <w:rPr>
          <w:sz w:val="22"/>
          <w:lang w:eastAsia="ko-KR"/>
        </w:rPr>
      </w:pPr>
      <w:r>
        <w:rPr>
          <w:sz w:val="22"/>
          <w:lang w:eastAsia="ko-KR"/>
        </w:rPr>
        <w:t xml:space="preserve">7. </w:t>
      </w:r>
      <w:r w:rsidRPr="00A7088E">
        <w:rPr>
          <w:sz w:val="22"/>
          <w:lang w:eastAsia="ko-KR"/>
        </w:rPr>
        <w:t>Seguimiento a compromisos de las acciones y concertación para la implementación de acciones del “Diagnóstico del estado actual de las comunidades de la media bota caucana y cabildos del norte del Municipio de Mocoa (Putumayo)”, acuerdos entre representantes del Gobierno Nacional y autoridades indígenas de la media bota caucana y cabildos del norte del Municipio de Mocoa.</w:t>
      </w:r>
    </w:p>
    <w:p w:rsidR="00A7088E" w:rsidRPr="00A7088E" w:rsidRDefault="00A7088E" w:rsidP="00A7088E">
      <w:pPr>
        <w:rPr>
          <w:sz w:val="22"/>
          <w:lang w:eastAsia="ko-KR"/>
        </w:rPr>
      </w:pPr>
      <w:r>
        <w:rPr>
          <w:sz w:val="22"/>
          <w:lang w:eastAsia="ko-KR"/>
        </w:rPr>
        <w:t xml:space="preserve">8. </w:t>
      </w:r>
      <w:r w:rsidRPr="00A7088E">
        <w:rPr>
          <w:sz w:val="22"/>
          <w:lang w:eastAsia="ko-KR"/>
        </w:rPr>
        <w:t>Acompañar el proceso del Derecho Fundamental a la Consulta Previa con las comunidades indígenas de los Resguardos San Francisco, Tacueyó y Toribío, Proyecto Nasa, para la formulación de su Plan Integral de Reparación Colectiva. A lo largo del año 2016 se generaron espacios de diálogo entre las autoridades y el equipo técnico del Proyecto Nasa y las entidades competentes de la reparación integral de dicha comunidad.</w:t>
      </w:r>
    </w:p>
    <w:p w:rsidR="00A7088E" w:rsidRPr="00A7088E" w:rsidRDefault="00A7088E" w:rsidP="00A7088E">
      <w:pPr>
        <w:rPr>
          <w:sz w:val="22"/>
          <w:lang w:eastAsia="ko-KR"/>
        </w:rPr>
      </w:pPr>
      <w:r>
        <w:rPr>
          <w:sz w:val="22"/>
          <w:lang w:eastAsia="ko-KR"/>
        </w:rPr>
        <w:t xml:space="preserve">9. </w:t>
      </w:r>
      <w:r w:rsidRPr="00A7088E">
        <w:rPr>
          <w:sz w:val="22"/>
          <w:lang w:eastAsia="ko-KR"/>
        </w:rPr>
        <w:t>Seguimiento a los acuerdos para la implementación del auto 005/09 y decreto 4635/11 en la zona norte de Cauca.</w:t>
      </w:r>
    </w:p>
    <w:p w:rsidR="00A7088E" w:rsidRPr="00A7088E" w:rsidRDefault="00A7088E" w:rsidP="00A7088E">
      <w:pPr>
        <w:rPr>
          <w:sz w:val="22"/>
          <w:lang w:eastAsia="ko-KR"/>
        </w:rPr>
      </w:pPr>
      <w:r>
        <w:rPr>
          <w:sz w:val="22"/>
          <w:lang w:eastAsia="ko-KR"/>
        </w:rPr>
        <w:t xml:space="preserve">10. </w:t>
      </w:r>
      <w:r w:rsidRPr="00A7088E">
        <w:rPr>
          <w:sz w:val="22"/>
          <w:lang w:eastAsia="ko-KR"/>
        </w:rPr>
        <w:t>Seguimiento a cumplimiento del Acuerdo Número 2 acta mesa bienestar social, infraestructura social, buen vivir, medio ambiente y salud, Cumbre Agraria, norte del Cauca.</w:t>
      </w:r>
    </w:p>
    <w:p w:rsidR="00A7088E" w:rsidRPr="00A7088E" w:rsidRDefault="00A7088E" w:rsidP="00A7088E">
      <w:pPr>
        <w:rPr>
          <w:sz w:val="22"/>
          <w:lang w:eastAsia="ko-KR"/>
        </w:rPr>
      </w:pPr>
      <w:r>
        <w:rPr>
          <w:sz w:val="22"/>
          <w:lang w:eastAsia="ko-KR"/>
        </w:rPr>
        <w:t xml:space="preserve">11. </w:t>
      </w:r>
      <w:r w:rsidRPr="00A7088E">
        <w:rPr>
          <w:sz w:val="22"/>
          <w:lang w:eastAsia="ko-KR"/>
        </w:rPr>
        <w:t>Seguimiento al Decreto Ley 3000 de 1986, Hidroeléctrica Salvajina, Cauca.</w:t>
      </w:r>
    </w:p>
    <w:p w:rsidR="00A7088E" w:rsidRPr="00A7088E" w:rsidRDefault="00A7088E" w:rsidP="00A7088E">
      <w:pPr>
        <w:rPr>
          <w:sz w:val="22"/>
          <w:lang w:eastAsia="ko-KR"/>
        </w:rPr>
      </w:pPr>
      <w:r>
        <w:rPr>
          <w:sz w:val="22"/>
          <w:lang w:eastAsia="ko-KR"/>
        </w:rPr>
        <w:t xml:space="preserve">12. </w:t>
      </w:r>
      <w:r w:rsidRPr="00A7088E">
        <w:rPr>
          <w:sz w:val="22"/>
          <w:lang w:eastAsia="ko-KR"/>
        </w:rPr>
        <w:t>Mesas de trabajo con los Departamentos de Guainía, Risaralda y Vichada, para indicar el objeto de los convenios para caminos ancestrales.</w:t>
      </w:r>
    </w:p>
    <w:p w:rsidR="00A7088E" w:rsidRPr="00A7088E" w:rsidRDefault="00A7088E" w:rsidP="00A7088E">
      <w:pPr>
        <w:rPr>
          <w:sz w:val="22"/>
          <w:lang w:eastAsia="ko-KR"/>
        </w:rPr>
      </w:pPr>
      <w:r>
        <w:rPr>
          <w:sz w:val="22"/>
          <w:lang w:eastAsia="ko-KR"/>
        </w:rPr>
        <w:t xml:space="preserve">13. </w:t>
      </w:r>
      <w:r w:rsidRPr="00A7088E">
        <w:rPr>
          <w:sz w:val="22"/>
          <w:lang w:eastAsia="ko-KR"/>
        </w:rPr>
        <w:t>Reuniones en la Presidencia de la República para tratar temas de acuerdos con Comunidades indígenas y afrodescendientes frente a cumbre agraria.</w:t>
      </w:r>
    </w:p>
    <w:p w:rsidR="00A7088E" w:rsidRPr="00A7088E" w:rsidRDefault="00A7088E" w:rsidP="00A7088E">
      <w:pPr>
        <w:rPr>
          <w:sz w:val="22"/>
          <w:lang w:eastAsia="ko-KR"/>
        </w:rPr>
      </w:pPr>
      <w:r>
        <w:rPr>
          <w:sz w:val="22"/>
          <w:lang w:eastAsia="ko-KR"/>
        </w:rPr>
        <w:t xml:space="preserve">14. </w:t>
      </w:r>
      <w:r w:rsidRPr="00A7088E">
        <w:rPr>
          <w:sz w:val="22"/>
          <w:lang w:eastAsia="ko-KR"/>
        </w:rPr>
        <w:t>Reuniones con FEDECAPITAL, organización de comunidades afrodescendientes de Bogotá.</w:t>
      </w:r>
    </w:p>
    <w:p w:rsidR="00A7088E" w:rsidRPr="00A7088E" w:rsidRDefault="00A7088E" w:rsidP="00A7088E">
      <w:pPr>
        <w:rPr>
          <w:sz w:val="22"/>
          <w:lang w:eastAsia="ko-KR"/>
        </w:rPr>
      </w:pPr>
      <w:r>
        <w:rPr>
          <w:sz w:val="22"/>
          <w:lang w:eastAsia="ko-KR"/>
        </w:rPr>
        <w:t xml:space="preserve">15. </w:t>
      </w:r>
      <w:r w:rsidRPr="00A7088E">
        <w:rPr>
          <w:sz w:val="22"/>
          <w:lang w:eastAsia="ko-KR"/>
        </w:rPr>
        <w:t>Se acompañan diferentes reuniones organizadas por diferentes entidades del Gobierno Nacional.</w:t>
      </w:r>
    </w:p>
    <w:p w:rsidR="00A7088E" w:rsidRDefault="00A7088E" w:rsidP="00A7088E">
      <w:pPr>
        <w:rPr>
          <w:sz w:val="22"/>
          <w:lang w:eastAsia="ko-KR"/>
        </w:rPr>
      </w:pPr>
    </w:p>
    <w:p w:rsidR="00A7088E" w:rsidRPr="00A7088E" w:rsidRDefault="00A7088E" w:rsidP="00A7088E">
      <w:pPr>
        <w:rPr>
          <w:sz w:val="22"/>
          <w:lang w:eastAsia="ko-KR"/>
        </w:rPr>
      </w:pPr>
      <w:r w:rsidRPr="00A7088E">
        <w:rPr>
          <w:sz w:val="22"/>
          <w:lang w:eastAsia="ko-KR"/>
        </w:rPr>
        <w:t xml:space="preserve">Durante la vigencia 2017 el Ministerio de Transporte realizó (6) seis convenios interadministrativos para la elaboración de estudios y diseños de vías priorizadas por las comunidades indígenas en los siguientes municipios: Cumaribo departamento del Vichada, Medio San Juan departamento del Choco, Morales departamento de Cauca, Colon </w:t>
      </w:r>
      <w:r w:rsidRPr="00A7088E">
        <w:rPr>
          <w:sz w:val="22"/>
          <w:lang w:eastAsia="ko-KR"/>
        </w:rPr>
        <w:lastRenderedPageBreak/>
        <w:t>departamento de Putumayo, Puerto Rondón departamento de Arauca, municipio de Bolívar departamento del Valle del Cauca, lo anterior en atención a los acuerdos y compromisos definidos para el sector en el Plan Nacional de Desarrollo 2015-2018.</w:t>
      </w:r>
    </w:p>
    <w:p w:rsidR="00A7088E" w:rsidRDefault="00A7088E" w:rsidP="00A7088E">
      <w:pPr>
        <w:rPr>
          <w:sz w:val="22"/>
          <w:lang w:eastAsia="ko-KR"/>
        </w:rPr>
      </w:pPr>
    </w:p>
    <w:p w:rsidR="00A7088E" w:rsidRPr="00A7088E" w:rsidRDefault="00A7088E" w:rsidP="00A7088E">
      <w:pPr>
        <w:rPr>
          <w:sz w:val="22"/>
          <w:lang w:eastAsia="ko-KR"/>
        </w:rPr>
      </w:pPr>
      <w:r w:rsidRPr="00A7088E">
        <w:rPr>
          <w:sz w:val="22"/>
          <w:lang w:eastAsia="ko-KR"/>
        </w:rPr>
        <w:t>Igualmente se realizaron las siguientes actividades:</w:t>
      </w:r>
    </w:p>
    <w:p w:rsidR="00A7088E" w:rsidRPr="00A7088E" w:rsidRDefault="00A7088E" w:rsidP="00442CAC">
      <w:pPr>
        <w:pStyle w:val="Prrafodelista"/>
        <w:numPr>
          <w:ilvl w:val="0"/>
          <w:numId w:val="82"/>
        </w:numPr>
        <w:rPr>
          <w:sz w:val="22"/>
          <w:lang w:eastAsia="ko-KR"/>
        </w:rPr>
      </w:pPr>
      <w:r w:rsidRPr="00A7088E">
        <w:rPr>
          <w:sz w:val="22"/>
          <w:lang w:eastAsia="ko-KR"/>
        </w:rPr>
        <w:t>Capacitación en formulación de proyectos en el municipio de Cajibio, departamento de Cauca.</w:t>
      </w:r>
    </w:p>
    <w:p w:rsidR="00A7088E" w:rsidRPr="00A7088E" w:rsidRDefault="00A7088E" w:rsidP="00442CAC">
      <w:pPr>
        <w:pStyle w:val="Prrafodelista"/>
        <w:numPr>
          <w:ilvl w:val="0"/>
          <w:numId w:val="82"/>
        </w:numPr>
        <w:rPr>
          <w:sz w:val="22"/>
          <w:lang w:eastAsia="ko-KR"/>
        </w:rPr>
      </w:pPr>
      <w:r w:rsidRPr="00A7088E">
        <w:rPr>
          <w:sz w:val="22"/>
          <w:lang w:eastAsia="ko-KR"/>
        </w:rPr>
        <w:t>Participación en la reunión de cumbre agraria en el municipio de Popayán.</w:t>
      </w:r>
    </w:p>
    <w:p w:rsidR="00A7088E" w:rsidRPr="00A7088E" w:rsidRDefault="00A7088E" w:rsidP="00442CAC">
      <w:pPr>
        <w:pStyle w:val="Prrafodelista"/>
        <w:numPr>
          <w:ilvl w:val="0"/>
          <w:numId w:val="82"/>
        </w:numPr>
        <w:rPr>
          <w:sz w:val="22"/>
          <w:lang w:eastAsia="ko-KR"/>
        </w:rPr>
      </w:pPr>
      <w:r w:rsidRPr="00A7088E">
        <w:rPr>
          <w:sz w:val="22"/>
          <w:lang w:eastAsia="ko-KR"/>
        </w:rPr>
        <w:t>Participación en la reunión con comunidades indígena del pueblo Uwa.</w:t>
      </w:r>
    </w:p>
    <w:p w:rsidR="00A7088E" w:rsidRPr="00A7088E" w:rsidRDefault="00A7088E" w:rsidP="00442CAC">
      <w:pPr>
        <w:pStyle w:val="Prrafodelista"/>
        <w:numPr>
          <w:ilvl w:val="0"/>
          <w:numId w:val="82"/>
        </w:numPr>
        <w:rPr>
          <w:sz w:val="22"/>
          <w:lang w:eastAsia="ko-KR"/>
        </w:rPr>
      </w:pPr>
      <w:r w:rsidRPr="00A7088E">
        <w:rPr>
          <w:sz w:val="22"/>
          <w:lang w:eastAsia="ko-KR"/>
        </w:rPr>
        <w:t>Participación en la reunión para adelantar seguimiento de compromisos del  paro del departamento del Chocó.</w:t>
      </w:r>
    </w:p>
    <w:p w:rsidR="00A7088E" w:rsidRPr="00A7088E" w:rsidRDefault="00A7088E" w:rsidP="00442CAC">
      <w:pPr>
        <w:pStyle w:val="Prrafodelista"/>
        <w:numPr>
          <w:ilvl w:val="0"/>
          <w:numId w:val="82"/>
        </w:numPr>
        <w:rPr>
          <w:sz w:val="22"/>
          <w:lang w:eastAsia="ko-KR"/>
        </w:rPr>
      </w:pPr>
      <w:r w:rsidRPr="00A7088E">
        <w:rPr>
          <w:sz w:val="22"/>
          <w:lang w:eastAsia="ko-KR"/>
        </w:rPr>
        <w:t>Participación en la reunión de seguimiento a compromisos de cumbre agraria en el departamento de Cauca.</w:t>
      </w:r>
    </w:p>
    <w:p w:rsidR="00A7088E" w:rsidRDefault="00A7088E" w:rsidP="00A7088E">
      <w:pPr>
        <w:rPr>
          <w:sz w:val="22"/>
          <w:lang w:eastAsia="ko-KR"/>
        </w:rPr>
      </w:pPr>
    </w:p>
    <w:p w:rsidR="00A7088E" w:rsidRDefault="00A7088E" w:rsidP="00A7088E">
      <w:pPr>
        <w:rPr>
          <w:sz w:val="22"/>
          <w:lang w:eastAsia="ko-KR"/>
        </w:rPr>
      </w:pPr>
      <w:r w:rsidRPr="00A7088E">
        <w:rPr>
          <w:sz w:val="22"/>
          <w:lang w:eastAsia="ko-KR"/>
        </w:rPr>
        <w:t xml:space="preserve">A continuación se presenta cuadro de inversiones realizadas en municipios con presencia de </w:t>
      </w:r>
      <w:r>
        <w:rPr>
          <w:sz w:val="22"/>
          <w:lang w:eastAsia="ko-KR"/>
        </w:rPr>
        <w:t xml:space="preserve">comunidades indígenas Año 2017. </w:t>
      </w:r>
      <w:r w:rsidRPr="00A7088E">
        <w:rPr>
          <w:sz w:val="22"/>
          <w:lang w:eastAsia="ko-KR"/>
        </w:rPr>
        <w:t>Durante la vigencia 2017, se firmaron (6) seis convenios interadministrativos con entidades territoriales para la contratación de LOS ESTUDIOS Y DISEÑOS DE LOS CAMINOS ANCESTRALES – PRIORIZADOS POR LAS COMUNIDADES INDÍGENAS</w:t>
      </w:r>
      <w:r>
        <w:rPr>
          <w:sz w:val="22"/>
          <w:lang w:eastAsia="ko-KR"/>
        </w:rPr>
        <w:t>.</w:t>
      </w:r>
    </w:p>
    <w:p w:rsidR="00A7088E" w:rsidRDefault="00A7088E" w:rsidP="00A7088E">
      <w:pPr>
        <w:rPr>
          <w:sz w:val="22"/>
          <w:lang w:eastAsia="ko-KR"/>
        </w:rPr>
      </w:pPr>
    </w:p>
    <w:tbl>
      <w:tblPr>
        <w:tblW w:w="9067" w:type="dxa"/>
        <w:jc w:val="center"/>
        <w:tblCellMar>
          <w:left w:w="70" w:type="dxa"/>
          <w:right w:w="70" w:type="dxa"/>
        </w:tblCellMar>
        <w:tblLook w:val="04A0" w:firstRow="1" w:lastRow="0" w:firstColumn="1" w:lastColumn="0" w:noHBand="0" w:noVBand="1"/>
      </w:tblPr>
      <w:tblGrid>
        <w:gridCol w:w="988"/>
        <w:gridCol w:w="1417"/>
        <w:gridCol w:w="1276"/>
        <w:gridCol w:w="3969"/>
        <w:gridCol w:w="1417"/>
      </w:tblGrid>
      <w:tr w:rsidR="00A7088E" w:rsidRPr="00A7088E" w:rsidTr="00DD0488">
        <w:trPr>
          <w:trHeight w:val="46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343926">
            <w:pPr>
              <w:spacing w:line="240" w:lineRule="auto"/>
              <w:jc w:val="center"/>
              <w:rPr>
                <w:rFonts w:ascii="Calibri" w:eastAsia="Times New Roman" w:hAnsi="Calibri" w:cs="Times New Roman"/>
                <w:b/>
                <w:color w:val="000000"/>
                <w:sz w:val="16"/>
                <w:szCs w:val="18"/>
                <w:lang w:eastAsia="es-CO"/>
              </w:rPr>
            </w:pPr>
            <w:r w:rsidRPr="00A7088E">
              <w:rPr>
                <w:rFonts w:ascii="Calibri" w:eastAsia="Times New Roman" w:hAnsi="Calibri" w:cs="Times New Roman"/>
                <w:b/>
                <w:color w:val="000000"/>
                <w:sz w:val="16"/>
                <w:szCs w:val="18"/>
                <w:lang w:eastAsia="es-CO"/>
              </w:rPr>
              <w:t>CONVENIO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b/>
                <w:color w:val="000000"/>
                <w:sz w:val="16"/>
                <w:szCs w:val="18"/>
                <w:lang w:eastAsia="es-CO"/>
              </w:rPr>
            </w:pPr>
            <w:r w:rsidRPr="00A7088E">
              <w:rPr>
                <w:rFonts w:ascii="Calibri" w:eastAsia="Times New Roman" w:hAnsi="Calibri" w:cs="Times New Roman"/>
                <w:b/>
                <w:color w:val="000000"/>
                <w:sz w:val="16"/>
                <w:szCs w:val="18"/>
                <w:lang w:eastAsia="es-CO"/>
              </w:rPr>
              <w:t>DEPARTAMENTO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7088E" w:rsidRPr="00A7088E" w:rsidRDefault="00A7088E" w:rsidP="00343926">
            <w:pPr>
              <w:spacing w:line="240" w:lineRule="auto"/>
              <w:jc w:val="center"/>
              <w:rPr>
                <w:rFonts w:ascii="Calibri" w:eastAsia="Times New Roman" w:hAnsi="Calibri" w:cs="Times New Roman"/>
                <w:b/>
                <w:color w:val="000000"/>
                <w:sz w:val="16"/>
                <w:szCs w:val="18"/>
                <w:lang w:eastAsia="es-CO"/>
              </w:rPr>
            </w:pPr>
            <w:r w:rsidRPr="00A7088E">
              <w:rPr>
                <w:rFonts w:ascii="Calibri" w:eastAsia="Times New Roman" w:hAnsi="Calibri" w:cs="Times New Roman"/>
                <w:b/>
                <w:color w:val="000000"/>
                <w:sz w:val="16"/>
                <w:szCs w:val="18"/>
                <w:lang w:eastAsia="es-CO"/>
              </w:rPr>
              <w:t>VALOR ($MILLONES)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b/>
                <w:color w:val="000000"/>
                <w:sz w:val="16"/>
                <w:szCs w:val="18"/>
                <w:lang w:eastAsia="es-CO"/>
              </w:rPr>
            </w:pPr>
            <w:r w:rsidRPr="00A7088E">
              <w:rPr>
                <w:rFonts w:ascii="Calibri" w:eastAsia="Times New Roman" w:hAnsi="Calibri" w:cs="Times New Roman"/>
                <w:b/>
                <w:color w:val="000000"/>
                <w:sz w:val="16"/>
                <w:szCs w:val="18"/>
                <w:lang w:eastAsia="es-CO"/>
              </w:rPr>
              <w:t>OBJETO DEL CONVENIO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b/>
                <w:color w:val="000000"/>
                <w:sz w:val="16"/>
                <w:szCs w:val="18"/>
                <w:lang w:eastAsia="es-CO"/>
              </w:rPr>
            </w:pPr>
            <w:r w:rsidRPr="00A7088E">
              <w:rPr>
                <w:rFonts w:ascii="Calibri" w:eastAsia="Times New Roman" w:hAnsi="Calibri" w:cs="Times New Roman"/>
                <w:b/>
                <w:color w:val="000000"/>
                <w:sz w:val="16"/>
                <w:szCs w:val="18"/>
                <w:lang w:eastAsia="es-CO"/>
              </w:rPr>
              <w:t>OBSERVACIONES</w:t>
            </w:r>
          </w:p>
        </w:tc>
      </w:tr>
      <w:tr w:rsidR="00A7088E" w:rsidRPr="00A7088E" w:rsidTr="00A7088E">
        <w:trPr>
          <w:trHeight w:val="106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Convenio No. 422/17</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MUNICIPIO DE  CUMARIBO - VICHADA</w:t>
            </w: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400.000.000</w:t>
            </w:r>
          </w:p>
        </w:tc>
        <w:tc>
          <w:tcPr>
            <w:tcW w:w="3969"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"APOYO A LA GESTIÓN VIAL POR PARTE DEL MINISTERIO DE TRANSPORTE AL MUNICIPIO DE CUMARIBO, DEPARTAMENTO DEL VICHADA MEDIANTE LA TRANSFERENCIA DE RECURSOS PARA LA CONTRATACIÓN DE LOS ESTUDIOS Y DISEÑOS DE LOS CAMINOS ANCESTRALES — COMUNIDADES INDÍGENAS”</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En ejecución</w:t>
            </w:r>
          </w:p>
        </w:tc>
      </w:tr>
      <w:tr w:rsidR="00A7088E" w:rsidRPr="00A7088E" w:rsidTr="00A7088E">
        <w:trPr>
          <w:trHeight w:val="127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Convenio No. 662/17</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MUNICIPIO DE MORALES - CAUCA</w:t>
            </w: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400.000.000</w:t>
            </w:r>
          </w:p>
        </w:tc>
        <w:tc>
          <w:tcPr>
            <w:tcW w:w="3969"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APOYO A LA GESTIÓN VIAL POR PARTE DEL MINISTERIO DE TRANSPORTE A LOS MUNICIPIOS DE SUAREZ Y MORALES, DEL DEPARTAMENTO DE CAUCA, MEDIANTE LA TRANSFERENCIA DE RECURSOS PARA LA CONTRATACIÓN DE LOS ESTUDIOS Y DISEÑOS DE LOS CAMINOS ANCESTRALES - COMUNIDADES INDÍGENAS</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En ejecución</w:t>
            </w:r>
          </w:p>
        </w:tc>
      </w:tr>
      <w:tr w:rsidR="00A7088E" w:rsidRPr="00A7088E" w:rsidTr="00A7088E">
        <w:trPr>
          <w:trHeight w:val="124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Convenio No. 663/17</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MUNICIPIO DE BAGADO, ALTO BAUDO y MEDIO SAN JUAN - CHOCÓ</w:t>
            </w: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400.000.000</w:t>
            </w:r>
          </w:p>
        </w:tc>
        <w:tc>
          <w:tcPr>
            <w:tcW w:w="3969"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APOYO A LA GESTIÓN VIAL POR PARTE DEL MINISTERIO DE TRANSPORTE A LOS MUNICIPIOS DE BAGADO, ALTO BAUDO Y MEDIO SAN JUAN, DEL DEPARTAMENTO DE CHOCO, MEDIANTE LA TRANSFERENCIA DE RECURSOS PARA LA CONTRATACIÓN DE LOS ESTUDIOS Y DISEÑOS DE LOS CAMINOS ANCESTRALES - COMUNIDADES INDÍGENAS.</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En ejecución</w:t>
            </w:r>
          </w:p>
        </w:tc>
      </w:tr>
      <w:tr w:rsidR="00A7088E" w:rsidRPr="00A7088E" w:rsidTr="00A7088E">
        <w:trPr>
          <w:trHeight w:val="113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lastRenderedPageBreak/>
              <w:t>Convenio No. 797/17</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MUNICIPIO DE BOLIVAR - VALLE DEL CAUCA</w:t>
            </w: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428.000.000</w:t>
            </w:r>
          </w:p>
        </w:tc>
        <w:tc>
          <w:tcPr>
            <w:tcW w:w="3969"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“APOYO A LA GESTIÓN VIAL POR PARTE DEL MINISTERIO DE TRANSPORTE Al  MUNICIPIO DE BOLIVAR, DEL DEPARTAMENTO DE VALLE DEL CAUCA, MEDIANTE LA TRANSFERENCIA DE RECURSOS PARA LA CONTRATACIÓN DE LOS ESTUDIOS Y DISEÑOS DE LOS CAMINOS ANCESTRALES – COMUNIDADES INDÍGENAS.”</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343926">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En ejecución</w:t>
            </w:r>
          </w:p>
        </w:tc>
      </w:tr>
      <w:tr w:rsidR="00A7088E" w:rsidRPr="00A7088E" w:rsidTr="00DD0488">
        <w:trPr>
          <w:trHeight w:val="66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Convenio No. 791/17</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MUNICIPIO DE  COLÓN - PUTUMAYO</w:t>
            </w: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160.937.273</w:t>
            </w:r>
          </w:p>
        </w:tc>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“APOYO A LA GESTIÓN VIAL POR PARTE DEL MINISTERIO DE TRANSPORTE Al  MUNICIPIO DE COLON, DEL DEPARTAMENTO DE PUTUMAYO, MEDIANTE LA TRANSFERENCIA DE RECURSOS PARA LA CONTRATACIÓN DE LOS ESTUDIOS Y DISEÑOS DE LOS CAMINOS ANCESTRALES – COMUNIDADES INDÍGENAS.”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En ejecución, Se adicionan $80 mill</w:t>
            </w:r>
          </w:p>
        </w:tc>
      </w:tr>
      <w:tr w:rsidR="00A7088E" w:rsidRPr="00A7088E" w:rsidTr="00DD0488">
        <w:trPr>
          <w:trHeight w:val="453"/>
          <w:jc w:val="center"/>
        </w:trPr>
        <w:tc>
          <w:tcPr>
            <w:tcW w:w="988" w:type="dxa"/>
            <w:vMerge/>
            <w:tcBorders>
              <w:top w:val="nil"/>
              <w:left w:val="single" w:sz="4" w:space="0" w:color="auto"/>
              <w:bottom w:val="single" w:sz="4" w:space="0" w:color="auto"/>
              <w:right w:val="single" w:sz="4" w:space="0" w:color="auto"/>
            </w:tcBorders>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p>
        </w:tc>
        <w:tc>
          <w:tcPr>
            <w:tcW w:w="1417" w:type="dxa"/>
            <w:vMerge/>
            <w:tcBorders>
              <w:top w:val="nil"/>
              <w:left w:val="single" w:sz="4" w:space="0" w:color="auto"/>
              <w:bottom w:val="single" w:sz="4" w:space="0" w:color="auto"/>
              <w:right w:val="single" w:sz="4" w:space="0" w:color="auto"/>
            </w:tcBorders>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80.000.000</w:t>
            </w:r>
          </w:p>
        </w:tc>
        <w:tc>
          <w:tcPr>
            <w:tcW w:w="3969" w:type="dxa"/>
            <w:vMerge/>
            <w:tcBorders>
              <w:top w:val="nil"/>
              <w:left w:val="single" w:sz="4" w:space="0" w:color="auto"/>
              <w:bottom w:val="single" w:sz="4" w:space="0" w:color="auto"/>
              <w:right w:val="single" w:sz="4" w:space="0" w:color="auto"/>
            </w:tcBorders>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p>
        </w:tc>
        <w:tc>
          <w:tcPr>
            <w:tcW w:w="1417" w:type="dxa"/>
            <w:vMerge/>
            <w:tcBorders>
              <w:top w:val="nil"/>
              <w:left w:val="single" w:sz="4" w:space="0" w:color="auto"/>
              <w:bottom w:val="single" w:sz="4" w:space="0" w:color="auto"/>
              <w:right w:val="single" w:sz="4" w:space="0" w:color="auto"/>
            </w:tcBorders>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p>
        </w:tc>
      </w:tr>
      <w:tr w:rsidR="00A7088E" w:rsidRPr="00A7088E" w:rsidTr="00DD0488">
        <w:trPr>
          <w:trHeight w:val="148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Convenio No. 798/17</w:t>
            </w:r>
          </w:p>
        </w:tc>
        <w:tc>
          <w:tcPr>
            <w:tcW w:w="1417"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MUNICIPIO DE PUERTO RONDÓN - ARAUCA</w:t>
            </w:r>
          </w:p>
        </w:tc>
        <w:tc>
          <w:tcPr>
            <w:tcW w:w="1276"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150.000.000</w:t>
            </w:r>
          </w:p>
        </w:tc>
        <w:tc>
          <w:tcPr>
            <w:tcW w:w="3969" w:type="dxa"/>
            <w:tcBorders>
              <w:top w:val="nil"/>
              <w:left w:val="nil"/>
              <w:bottom w:val="single" w:sz="4" w:space="0" w:color="auto"/>
              <w:right w:val="single" w:sz="4" w:space="0" w:color="auto"/>
            </w:tcBorders>
            <w:shd w:val="clear" w:color="auto" w:fill="auto"/>
            <w:vAlign w:val="center"/>
            <w:hideMark/>
          </w:tcPr>
          <w:p w:rsidR="00A7088E" w:rsidRPr="00A7088E" w:rsidRDefault="00A7088E" w:rsidP="00DD0488">
            <w:pPr>
              <w:spacing w:line="240" w:lineRule="auto"/>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“APOYO A LA GESTIÓN VIAL POR PARTE DEL MINISTERIO DE TRANSPORTE Al  MUNICIPIO DE PUERTO RONDON, DEL DEPARTAMENTO DE ARAUCA, MEDIANTE LA TRANSFERENCIA DE RECURSOS PARA LA CONTRATACIÓN DE LOS ESTUDIOS Y DISEÑOS DE LOS CAMINOS ANCESTRALES – COMUNIDADES INDÍGENAS.”</w:t>
            </w:r>
          </w:p>
        </w:tc>
        <w:tc>
          <w:tcPr>
            <w:tcW w:w="1417" w:type="dxa"/>
            <w:tcBorders>
              <w:top w:val="nil"/>
              <w:left w:val="nil"/>
              <w:bottom w:val="single" w:sz="4" w:space="0" w:color="auto"/>
              <w:right w:val="single" w:sz="4" w:space="0" w:color="auto"/>
            </w:tcBorders>
            <w:shd w:val="clear" w:color="auto" w:fill="auto"/>
            <w:noWrap/>
            <w:vAlign w:val="center"/>
            <w:hideMark/>
          </w:tcPr>
          <w:p w:rsidR="00A7088E" w:rsidRPr="00A7088E" w:rsidRDefault="00A7088E" w:rsidP="00DD0488">
            <w:pPr>
              <w:spacing w:line="240" w:lineRule="auto"/>
              <w:jc w:val="center"/>
              <w:rPr>
                <w:rFonts w:ascii="Calibri" w:eastAsia="Times New Roman" w:hAnsi="Calibri" w:cs="Times New Roman"/>
                <w:color w:val="000000"/>
                <w:sz w:val="16"/>
                <w:szCs w:val="18"/>
                <w:lang w:eastAsia="es-CO"/>
              </w:rPr>
            </w:pPr>
            <w:r w:rsidRPr="00A7088E">
              <w:rPr>
                <w:rFonts w:ascii="Calibri" w:eastAsia="Times New Roman" w:hAnsi="Calibri" w:cs="Times New Roman"/>
                <w:color w:val="000000"/>
                <w:sz w:val="16"/>
                <w:szCs w:val="18"/>
                <w:lang w:eastAsia="es-CO"/>
              </w:rPr>
              <w:t>En ejecución</w:t>
            </w:r>
          </w:p>
        </w:tc>
      </w:tr>
    </w:tbl>
    <w:p w:rsidR="00A7088E" w:rsidRDefault="00A7088E" w:rsidP="00A7088E">
      <w:pPr>
        <w:rPr>
          <w:sz w:val="22"/>
          <w:lang w:eastAsia="ko-KR"/>
        </w:rPr>
      </w:pPr>
    </w:p>
    <w:p w:rsidR="00371447" w:rsidRPr="00E07195" w:rsidRDefault="00371447" w:rsidP="00E07195">
      <w:pPr>
        <w:rPr>
          <w:sz w:val="22"/>
          <w:u w:val="single"/>
          <w:lang w:val="es-ES_tradnl"/>
        </w:rPr>
      </w:pPr>
      <w:r w:rsidRPr="00E07195">
        <w:rPr>
          <w:sz w:val="22"/>
          <w:u w:val="single"/>
          <w:lang w:val="es-ES_tradnl"/>
        </w:rPr>
        <w:t>Componente INFORMACIÓN / DIÁLOGO – Tema AUDIENCIA PÚBLICA SECTORIAL</w:t>
      </w:r>
      <w:bookmarkEnd w:id="217"/>
      <w:bookmarkEnd w:id="218"/>
      <w:bookmarkEnd w:id="219"/>
    </w:p>
    <w:p w:rsidR="00153AAD" w:rsidRPr="00153AAD" w:rsidRDefault="00153AAD" w:rsidP="00153AAD">
      <w:pPr>
        <w:spacing w:after="120"/>
        <w:rPr>
          <w:sz w:val="22"/>
          <w:lang w:eastAsia="ko-KR"/>
        </w:rPr>
      </w:pPr>
      <w:bookmarkStart w:id="220" w:name="_Toc410332729"/>
      <w:bookmarkStart w:id="221" w:name="_Toc473412544"/>
      <w:r w:rsidRPr="00153AAD">
        <w:rPr>
          <w:sz w:val="22"/>
          <w:lang w:eastAsia="ko-KR"/>
        </w:rPr>
        <w:t>El día 18 de diciembre de 2017 se llevó a cabo la Audiencia Pública de Rendición de Cuentas del sector Transporte, liderada por el señor Ministro de Transporte, Germán Cardona Gutiérrez, con la presencia y participación de los Directivos de las Entidades adscritas, a saber:</w:t>
      </w:r>
    </w:p>
    <w:p w:rsidR="00153AAD" w:rsidRPr="00153AAD" w:rsidRDefault="00EA6BEB" w:rsidP="00442CAC">
      <w:pPr>
        <w:pStyle w:val="Prrafodelista"/>
        <w:numPr>
          <w:ilvl w:val="0"/>
          <w:numId w:val="83"/>
        </w:numPr>
        <w:spacing w:after="120" w:line="240" w:lineRule="auto"/>
        <w:contextualSpacing w:val="0"/>
        <w:rPr>
          <w:sz w:val="22"/>
          <w:lang w:eastAsia="ko-KR"/>
        </w:rPr>
      </w:pPr>
      <w:r>
        <w:rPr>
          <w:sz w:val="22"/>
          <w:lang w:eastAsia="ko-KR"/>
        </w:rPr>
        <w:t>Andrés Ricardo Cha</w:t>
      </w:r>
      <w:r w:rsidR="00153AAD" w:rsidRPr="00153AAD">
        <w:rPr>
          <w:sz w:val="22"/>
          <w:lang w:eastAsia="ko-KR"/>
        </w:rPr>
        <w:t>ves Pinzón,</w:t>
      </w:r>
      <w:r w:rsidR="00153AAD" w:rsidRPr="00153AAD">
        <w:rPr>
          <w:sz w:val="22"/>
        </w:rPr>
        <w:t xml:space="preserve"> </w:t>
      </w:r>
      <w:r w:rsidR="00153AAD" w:rsidRPr="00153AAD">
        <w:rPr>
          <w:sz w:val="22"/>
          <w:lang w:eastAsia="ko-KR"/>
        </w:rPr>
        <w:t>Viceministro de Transporte</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César Augusto Peñaloza Pabón, Viceministro de Infraestructura</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Javier Antonio Jaramillo Ramírez, Superintendente de Puertos y Transporte</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Carlos Alberto García Montes, Director del Instituto Nacional de Vías INVIAS</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Dimitri Zaninovich Victoria, Presidente de la Agencia Nacional de Infraestructura ANI</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Alejandro Maya Martínez, Director Agencia Nacional de Seguridad Vial</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Alfredo Varela de La Rosa Director  Ejecutivo de la Corporación Autónoma Regional del Río Grande de la Magdalena CORMAGDALENA</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Juan  Carlos Salazar Gómez, Director General de la Aeronáutica Civil AEROCIVIL</w:t>
      </w:r>
    </w:p>
    <w:p w:rsidR="00153AAD" w:rsidRPr="00153AAD" w:rsidRDefault="00153AAD" w:rsidP="00442CAC">
      <w:pPr>
        <w:pStyle w:val="Prrafodelista"/>
        <w:numPr>
          <w:ilvl w:val="0"/>
          <w:numId w:val="83"/>
        </w:numPr>
        <w:spacing w:after="120" w:line="240" w:lineRule="auto"/>
        <w:contextualSpacing w:val="0"/>
        <w:rPr>
          <w:sz w:val="22"/>
          <w:lang w:eastAsia="ko-KR"/>
        </w:rPr>
      </w:pPr>
      <w:r w:rsidRPr="00153AAD">
        <w:rPr>
          <w:sz w:val="22"/>
          <w:lang w:eastAsia="ko-KR"/>
        </w:rPr>
        <w:t xml:space="preserve">Brigadier General Ramiro Castrillón Lara, Director de Tránsito y Transporte de la Policía Nacional. </w:t>
      </w:r>
    </w:p>
    <w:p w:rsidR="003560BA" w:rsidRDefault="00153AAD" w:rsidP="00153AAD">
      <w:pPr>
        <w:spacing w:after="120"/>
        <w:contextualSpacing/>
        <w:rPr>
          <w:rFonts w:cs="Arial"/>
          <w:sz w:val="22"/>
        </w:rPr>
      </w:pPr>
      <w:r w:rsidRPr="00153AAD">
        <w:rPr>
          <w:rFonts w:cs="Arial"/>
          <w:sz w:val="22"/>
        </w:rPr>
        <w:t>El Ministerio de Transporte y sus entidades adscritas del Sector Transporte presentaron ante los colombianos</w:t>
      </w:r>
      <w:r w:rsidRPr="00153AAD">
        <w:rPr>
          <w:sz w:val="22"/>
        </w:rPr>
        <w:t xml:space="preserve"> </w:t>
      </w:r>
      <w:r w:rsidRPr="00153AAD">
        <w:rPr>
          <w:rFonts w:cs="Arial"/>
          <w:sz w:val="22"/>
        </w:rPr>
        <w:t xml:space="preserve">las políticas, las estrategias, los avances y logros, que han permitido que el Sector sea uno de los más dinámicos del país. A través del Canal Institucional y de las redes sociales, los ciudadanos pudieron interactuar con el señor Ministro Germán </w:t>
      </w:r>
      <w:r w:rsidRPr="00153AAD">
        <w:rPr>
          <w:rFonts w:cs="Arial"/>
          <w:sz w:val="22"/>
        </w:rPr>
        <w:lastRenderedPageBreak/>
        <w:t>Cardona Gutiérrez y los directores de las entidades, para así conocer el nivel de cumplimiento de las metas e indicadores</w:t>
      </w:r>
      <w:r>
        <w:rPr>
          <w:rFonts w:cs="Arial"/>
          <w:sz w:val="22"/>
        </w:rPr>
        <w:t>.</w:t>
      </w:r>
    </w:p>
    <w:p w:rsidR="00153AAD" w:rsidRPr="00153AAD" w:rsidRDefault="00153AAD" w:rsidP="00153AAD">
      <w:pPr>
        <w:spacing w:after="120"/>
        <w:contextualSpacing/>
        <w:rPr>
          <w:rFonts w:cs="Arial"/>
          <w:sz w:val="22"/>
        </w:rPr>
      </w:pPr>
      <w:r>
        <w:rPr>
          <w:rFonts w:cs="Arial"/>
          <w:sz w:val="22"/>
        </w:rPr>
        <w:t xml:space="preserve">La </w:t>
      </w:r>
      <w:r w:rsidRPr="00153AAD">
        <w:rPr>
          <w:rFonts w:cs="Arial"/>
          <w:sz w:val="22"/>
        </w:rPr>
        <w:t>siguiente es una somera relación de las principales actividades previas a la Audiencia Pública, realizadas de acuerdo con los lineamientos de procedimiento diseñados por el Departamento Administrativo de la Función Pública –DAFP:</w:t>
      </w:r>
    </w:p>
    <w:p w:rsidR="00153AAD" w:rsidRPr="00153AAD" w:rsidRDefault="00153AAD" w:rsidP="00442CAC">
      <w:pPr>
        <w:pStyle w:val="Prrafodelista"/>
        <w:numPr>
          <w:ilvl w:val="0"/>
          <w:numId w:val="84"/>
        </w:numPr>
        <w:spacing w:after="120"/>
        <w:ind w:left="357" w:hanging="357"/>
        <w:rPr>
          <w:rFonts w:cs="Arial"/>
          <w:sz w:val="22"/>
        </w:rPr>
      </w:pPr>
      <w:r w:rsidRPr="00153AAD">
        <w:rPr>
          <w:rFonts w:cs="Arial"/>
          <w:sz w:val="22"/>
        </w:rPr>
        <w:t>Desde el mes de octubre se realizaron reuniones preparatorias con los delegados técnicos y de prensa de los Despachos de los Viceministerios de Infraestructura y de Transporte y de las Entidades adscritas del Sector.</w:t>
      </w:r>
    </w:p>
    <w:p w:rsidR="00153AAD" w:rsidRPr="00153AAD" w:rsidRDefault="00153AAD" w:rsidP="00442CAC">
      <w:pPr>
        <w:pStyle w:val="Prrafodelista"/>
        <w:numPr>
          <w:ilvl w:val="0"/>
          <w:numId w:val="84"/>
        </w:numPr>
        <w:spacing w:after="120"/>
        <w:ind w:left="357" w:hanging="357"/>
        <w:rPr>
          <w:sz w:val="22"/>
          <w:u w:val="single"/>
          <w:lang w:val="es-ES_tradnl"/>
        </w:rPr>
      </w:pPr>
      <w:r w:rsidRPr="00153AAD">
        <w:rPr>
          <w:rFonts w:cs="Arial"/>
          <w:sz w:val="22"/>
        </w:rPr>
        <w:t>El día 4 de noviembre se presentó en la página web del Ministerio la invitación general.</w:t>
      </w:r>
    </w:p>
    <w:p w:rsidR="00153AAD" w:rsidRPr="00153AAD" w:rsidRDefault="00153AAD" w:rsidP="00442CAC">
      <w:pPr>
        <w:pStyle w:val="Prrafodelista"/>
        <w:numPr>
          <w:ilvl w:val="0"/>
          <w:numId w:val="84"/>
        </w:numPr>
        <w:spacing w:after="120"/>
        <w:ind w:left="357" w:hanging="357"/>
        <w:rPr>
          <w:rFonts w:cs="Arial"/>
          <w:sz w:val="22"/>
        </w:rPr>
      </w:pPr>
      <w:r w:rsidRPr="00153AAD">
        <w:rPr>
          <w:rFonts w:cs="Arial"/>
          <w:sz w:val="22"/>
        </w:rPr>
        <w:t>Con correo electrónico del 12 de diciembre se cursó la invitación formal a participar en la Audiencia Pública, dirigida a la Secretaria de la Transparencia de la Presidencia, Departamento Administrativo de la Función Pública, Corporación Transparencia por Colombia, Procuraduría General de la Nación, la Contraloría General de la República, gremios del Sector, Academia y Prensa.</w:t>
      </w:r>
    </w:p>
    <w:p w:rsidR="00153AAD" w:rsidRPr="00153AAD" w:rsidRDefault="00153AAD" w:rsidP="00442CAC">
      <w:pPr>
        <w:pStyle w:val="Prrafodelista"/>
        <w:numPr>
          <w:ilvl w:val="0"/>
          <w:numId w:val="84"/>
        </w:numPr>
        <w:spacing w:after="120"/>
        <w:ind w:left="357" w:hanging="357"/>
        <w:rPr>
          <w:sz w:val="22"/>
          <w:u w:val="single"/>
          <w:lang w:val="es-ES_tradnl"/>
        </w:rPr>
      </w:pPr>
      <w:r w:rsidRPr="00153AAD">
        <w:rPr>
          <w:rFonts w:cs="Arial"/>
          <w:sz w:val="22"/>
        </w:rPr>
        <w:t>Se publicó, el 10 de noviembre en el sitio reservado para la Audiencia Pública 2017 de la página web del Ministerio, el Informe de gestión del Sector (formato Word) y la Presentación con el informe de general de gestión del Sector (formato power-point), y se dispuso la encuesta abierta sobre temas de interés.</w:t>
      </w:r>
    </w:p>
    <w:p w:rsidR="00153AAD" w:rsidRPr="00153AAD" w:rsidRDefault="00153AAD" w:rsidP="00442CAC">
      <w:pPr>
        <w:pStyle w:val="Prrafodelista"/>
        <w:numPr>
          <w:ilvl w:val="0"/>
          <w:numId w:val="84"/>
        </w:numPr>
        <w:spacing w:after="120"/>
        <w:rPr>
          <w:rFonts w:cs="Arial"/>
          <w:sz w:val="22"/>
        </w:rPr>
      </w:pPr>
      <w:r w:rsidRPr="00153AAD">
        <w:rPr>
          <w:rFonts w:cs="Arial"/>
          <w:sz w:val="22"/>
        </w:rPr>
        <w:t>Se habilitó un mensaje automático de invitación a la Audiencia pública en el call-center del Ministerio.</w:t>
      </w:r>
    </w:p>
    <w:p w:rsidR="00153AAD" w:rsidRPr="00153AAD" w:rsidRDefault="00153AAD" w:rsidP="00442CAC">
      <w:pPr>
        <w:pStyle w:val="Prrafodelista"/>
        <w:numPr>
          <w:ilvl w:val="0"/>
          <w:numId w:val="84"/>
        </w:numPr>
        <w:spacing w:after="120"/>
        <w:rPr>
          <w:rFonts w:cs="Arial"/>
          <w:sz w:val="22"/>
        </w:rPr>
      </w:pPr>
      <w:r w:rsidRPr="00153AAD">
        <w:rPr>
          <w:rFonts w:cs="Arial"/>
          <w:sz w:val="22"/>
        </w:rPr>
        <w:t>Se habilitó el buzón para los ciudadanos, para formular preguntas o proponer temas de interés para presentar en esta Audiencia Pública, en el correo electrónico: audienciapublica@mintransporte.gov.co</w:t>
      </w:r>
    </w:p>
    <w:p w:rsidR="00153AAD" w:rsidRPr="00153AAD" w:rsidRDefault="00153AAD" w:rsidP="00442CAC">
      <w:pPr>
        <w:pStyle w:val="Prrafodelista"/>
        <w:numPr>
          <w:ilvl w:val="0"/>
          <w:numId w:val="84"/>
        </w:numPr>
        <w:spacing w:after="120"/>
        <w:rPr>
          <w:rFonts w:cs="Arial"/>
          <w:sz w:val="22"/>
        </w:rPr>
      </w:pPr>
      <w:r w:rsidRPr="00153AAD">
        <w:rPr>
          <w:rFonts w:cs="Arial"/>
          <w:sz w:val="22"/>
        </w:rPr>
        <w:t>Se enviaron mensajes de texto de la invitación a participar del evento.</w:t>
      </w:r>
    </w:p>
    <w:p w:rsidR="00153AAD" w:rsidRPr="00153AAD" w:rsidRDefault="00153AAD" w:rsidP="00153AAD">
      <w:pPr>
        <w:spacing w:after="120"/>
        <w:contextualSpacing/>
        <w:rPr>
          <w:rFonts w:cs="Arial"/>
          <w:sz w:val="22"/>
        </w:rPr>
      </w:pPr>
    </w:p>
    <w:p w:rsidR="00153AAD" w:rsidRPr="00153AAD" w:rsidRDefault="00153AAD" w:rsidP="00153AAD">
      <w:pPr>
        <w:spacing w:after="120"/>
        <w:contextualSpacing/>
        <w:rPr>
          <w:rFonts w:cs="Arial"/>
          <w:sz w:val="22"/>
        </w:rPr>
      </w:pPr>
      <w:r w:rsidRPr="00153AAD">
        <w:rPr>
          <w:rFonts w:cs="Arial"/>
          <w:sz w:val="22"/>
        </w:rPr>
        <w:t xml:space="preserve">El siguiente es el banner de la invitación cursada vía electrónica a todas las partes interesadas, como gremios, entidades del Gobierno, Entidades de </w:t>
      </w:r>
      <w:r w:rsidR="00EA6BEB">
        <w:rPr>
          <w:rFonts w:cs="Arial"/>
          <w:sz w:val="22"/>
        </w:rPr>
        <w:t xml:space="preserve">Control y ciudadanía en general. </w:t>
      </w:r>
      <w:r w:rsidRPr="00153AAD">
        <w:rPr>
          <w:rFonts w:cs="Arial"/>
          <w:sz w:val="22"/>
        </w:rPr>
        <w:t>Para visualizar más información sobre la realización de la Audiencia Pública, se puede acceder el siguiente link:</w:t>
      </w:r>
    </w:p>
    <w:p w:rsidR="00153AAD" w:rsidRPr="00153AAD" w:rsidRDefault="00576E08" w:rsidP="00153AAD">
      <w:pPr>
        <w:spacing w:after="120"/>
        <w:contextualSpacing/>
        <w:rPr>
          <w:sz w:val="22"/>
          <w:u w:val="single"/>
          <w:lang w:val="es-ES_tradnl"/>
        </w:rPr>
      </w:pPr>
      <w:hyperlink r:id="rId55" w:history="1">
        <w:r w:rsidR="00153AAD" w:rsidRPr="004C2B03">
          <w:rPr>
            <w:rStyle w:val="Hipervnculo"/>
            <w:rFonts w:cs="Arial"/>
            <w:sz w:val="20"/>
            <w:szCs w:val="20"/>
          </w:rPr>
          <w:t>https://www.mintransporte.gov.co/Publicaciones/audiencia_publica_de_rendicion_de_cuentas_2017</w:t>
        </w:r>
      </w:hyperlink>
    </w:p>
    <w:p w:rsidR="00371447" w:rsidRDefault="00371447" w:rsidP="00E07195">
      <w:pPr>
        <w:rPr>
          <w:sz w:val="22"/>
          <w:u w:val="single"/>
          <w:lang w:val="es-ES_tradnl"/>
        </w:rPr>
      </w:pPr>
      <w:r w:rsidRPr="00153AAD">
        <w:rPr>
          <w:sz w:val="22"/>
          <w:u w:val="single"/>
          <w:lang w:val="es-ES_tradnl"/>
        </w:rPr>
        <w:lastRenderedPageBreak/>
        <w:t>Componente INCENTIVOS – Tema CAPACITACIÓN INTERNA</w:t>
      </w:r>
      <w:bookmarkEnd w:id="220"/>
      <w:bookmarkEnd w:id="221"/>
    </w:p>
    <w:p w:rsidR="00153AAD" w:rsidRDefault="00153AAD" w:rsidP="00153AAD">
      <w:pPr>
        <w:spacing w:after="120"/>
        <w:contextualSpacing/>
        <w:rPr>
          <w:rFonts w:eastAsia="Times New Roman" w:cstheme="minorHAnsi"/>
          <w:b/>
          <w:bCs/>
          <w:sz w:val="22"/>
          <w:lang w:val="es-ES_tradnl"/>
        </w:rPr>
      </w:pPr>
    </w:p>
    <w:p w:rsidR="00153AAD" w:rsidRPr="00153AAD" w:rsidRDefault="00153AAD" w:rsidP="00153AAD">
      <w:pPr>
        <w:spacing w:after="120"/>
        <w:contextualSpacing/>
        <w:rPr>
          <w:sz w:val="22"/>
          <w:lang w:val="es-ES_tradnl"/>
        </w:rPr>
      </w:pPr>
      <w:r w:rsidRPr="00153AAD">
        <w:rPr>
          <w:rFonts w:eastAsia="Times New Roman" w:cstheme="minorHAnsi"/>
          <w:b/>
          <w:bCs/>
          <w:sz w:val="22"/>
          <w:lang w:val="es-ES_tradnl"/>
        </w:rPr>
        <w:t>Concurso de conocimientos</w:t>
      </w:r>
      <w:r>
        <w:rPr>
          <w:rFonts w:eastAsia="Times New Roman" w:cstheme="minorHAnsi"/>
          <w:b/>
          <w:bCs/>
          <w:sz w:val="22"/>
          <w:lang w:val="es-ES_tradnl"/>
        </w:rPr>
        <w:t xml:space="preserve">: </w:t>
      </w:r>
      <w:r w:rsidRPr="00153AAD">
        <w:rPr>
          <w:sz w:val="22"/>
          <w:lang w:eastAsia="ko-KR"/>
        </w:rPr>
        <w:t>Con el fin de afianzar y estimular la cultura de rendición de cuentas a la ciudadanía por parte de los funcionarios del Ministerio, la Oficina Asesora de Planeación diseñó una actividad lúdica de participación voluntaria utilizando nuestra red informática, que consistió en medir los conocimientos sobre el tema a través de cuestionarios, presentados en formatos remitidos por la red de correo electrónico Outlook del Ministerio. Este concurso se denominó “</w:t>
      </w:r>
      <w:r w:rsidRPr="00153AAD">
        <w:rPr>
          <w:b/>
          <w:sz w:val="22"/>
          <w:lang w:eastAsia="ko-KR"/>
        </w:rPr>
        <w:t>Cuánto del Sistema de Gestión Integrado estás enterado</w:t>
      </w:r>
      <w:r w:rsidRPr="00153AAD">
        <w:rPr>
          <w:sz w:val="22"/>
          <w:lang w:eastAsia="ko-KR"/>
        </w:rPr>
        <w:t>”.</w:t>
      </w:r>
      <w:r>
        <w:rPr>
          <w:sz w:val="22"/>
          <w:lang w:eastAsia="ko-KR"/>
        </w:rPr>
        <w:t xml:space="preserve"> </w:t>
      </w:r>
      <w:r w:rsidRPr="00153AAD">
        <w:rPr>
          <w:sz w:val="22"/>
          <w:lang w:eastAsia="ko-KR"/>
        </w:rPr>
        <w:t>La siguiente gráfica muestra uno de los diseños remitidos dentro de la campaña de expectativa</w:t>
      </w:r>
      <w:r>
        <w:rPr>
          <w:sz w:val="22"/>
          <w:lang w:eastAsia="ko-KR"/>
        </w:rPr>
        <w:t>:</w:t>
      </w:r>
    </w:p>
    <w:p w:rsidR="00153AAD" w:rsidRPr="00153AAD" w:rsidRDefault="00153AAD" w:rsidP="00153AAD">
      <w:pPr>
        <w:jc w:val="center"/>
        <w:rPr>
          <w:sz w:val="22"/>
          <w:lang w:val="es-ES_tradnl"/>
        </w:rPr>
      </w:pPr>
      <w:r>
        <w:rPr>
          <w:noProof/>
          <w:lang w:val="es-CO" w:eastAsia="es-CO"/>
        </w:rPr>
        <w:drawing>
          <wp:inline distT="0" distB="0" distL="0" distR="0">
            <wp:extent cx="4138226" cy="2326640"/>
            <wp:effectExtent l="0" t="0" r="0" b="0"/>
            <wp:docPr id="67" name="Imagen 67" descr="C:\Users\fgomez\AppData\Local\Microsoft\Windows\INetCache\Content.Outlook\R2J7RZHS\Exp-S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gomez\AppData\Local\Microsoft\Windows\INetCache\Content.Outlook\R2J7RZHS\Exp-SG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38226" cy="2326640"/>
                    </a:xfrm>
                    <a:prstGeom prst="rect">
                      <a:avLst/>
                    </a:prstGeom>
                    <a:noFill/>
                    <a:ln>
                      <a:noFill/>
                    </a:ln>
                  </pic:spPr>
                </pic:pic>
              </a:graphicData>
            </a:graphic>
          </wp:inline>
        </w:drawing>
      </w:r>
    </w:p>
    <w:p w:rsidR="00153AAD" w:rsidRPr="00153AAD" w:rsidRDefault="00153AAD" w:rsidP="00E07195">
      <w:pPr>
        <w:rPr>
          <w:sz w:val="22"/>
          <w:lang w:val="es-ES_tradnl"/>
        </w:rPr>
      </w:pPr>
      <w:bookmarkStart w:id="222" w:name="_Toc410332730"/>
      <w:bookmarkStart w:id="223" w:name="_Toc473412545"/>
    </w:p>
    <w:p w:rsidR="00153AAD" w:rsidRDefault="00153AAD" w:rsidP="00E07195">
      <w:pPr>
        <w:rPr>
          <w:sz w:val="22"/>
          <w:lang w:eastAsia="ko-KR"/>
        </w:rPr>
      </w:pPr>
      <w:r w:rsidRPr="00153AAD">
        <w:rPr>
          <w:sz w:val="22"/>
          <w:lang w:eastAsia="ko-KR"/>
        </w:rPr>
        <w:t>Durante cuatro semanas se remitieron los cuestionarios, de acuerdo con una reglamentación definida formalmente con antelación, logrando una amplia participación por parte de los empleados públicos de Planta Central, de las Direcciones Territoriales e Inspecciones, tanto de carrera administrativa, como provisionales y contratistas de prestación de servicios</w:t>
      </w:r>
      <w:r>
        <w:rPr>
          <w:sz w:val="22"/>
          <w:lang w:eastAsia="ko-KR"/>
        </w:rPr>
        <w:t>.</w:t>
      </w:r>
    </w:p>
    <w:p w:rsidR="00153AAD" w:rsidRDefault="00153AAD" w:rsidP="00E07195">
      <w:pPr>
        <w:rPr>
          <w:sz w:val="22"/>
          <w:lang w:eastAsia="ko-KR"/>
        </w:rPr>
      </w:pPr>
    </w:p>
    <w:p w:rsidR="00371447" w:rsidRPr="00E07195" w:rsidRDefault="00371447" w:rsidP="00E07195">
      <w:pPr>
        <w:rPr>
          <w:sz w:val="22"/>
          <w:u w:val="single"/>
          <w:lang w:val="es-ES_tradnl"/>
        </w:rPr>
      </w:pPr>
      <w:r w:rsidRPr="00153AAD">
        <w:rPr>
          <w:sz w:val="22"/>
          <w:u w:val="single"/>
          <w:lang w:val="es-ES_tradnl"/>
        </w:rPr>
        <w:t xml:space="preserve">Componente INCENTIVOS – Tema </w:t>
      </w:r>
      <w:bookmarkEnd w:id="222"/>
      <w:r w:rsidRPr="00153AAD">
        <w:rPr>
          <w:sz w:val="22"/>
          <w:u w:val="single"/>
          <w:lang w:val="es-ES_tradnl"/>
        </w:rPr>
        <w:t>DIVULGACIÓN Y PROMOCIÓN DE LA RENDICIÓN DE CUENTAS</w:t>
      </w:r>
      <w:bookmarkEnd w:id="223"/>
    </w:p>
    <w:p w:rsidR="00153AAD" w:rsidRDefault="00153AAD" w:rsidP="00E07195">
      <w:pPr>
        <w:rPr>
          <w:sz w:val="22"/>
          <w:lang w:val="es-CO" w:eastAsia="ko-KR"/>
        </w:rPr>
      </w:pPr>
      <w:bookmarkStart w:id="224" w:name="_Toc473412546"/>
      <w:bookmarkStart w:id="225" w:name="_Toc410332731"/>
      <w:bookmarkStart w:id="226" w:name="_Toc410332734"/>
      <w:bookmarkStart w:id="227" w:name="_Toc389659510"/>
    </w:p>
    <w:p w:rsidR="00153AAD" w:rsidRPr="00153AAD" w:rsidRDefault="00153AAD" w:rsidP="00153AAD">
      <w:pPr>
        <w:rPr>
          <w:sz w:val="22"/>
          <w:lang w:val="es-CO" w:eastAsia="ko-KR"/>
        </w:rPr>
      </w:pPr>
      <w:r w:rsidRPr="00153AAD">
        <w:rPr>
          <w:sz w:val="22"/>
          <w:lang w:val="es-CO" w:eastAsia="ko-KR"/>
        </w:rPr>
        <w:lastRenderedPageBreak/>
        <w:t>La Oficina de Control Interno del Ministerio elaboró un plan de trabajo con el fin de promover al interior de la Entidad el proceso de rendición de cuentas, dando a conocer su base legal, estrategias y alcance, a través de la emisión de los boletines de control interno.</w:t>
      </w:r>
    </w:p>
    <w:p w:rsidR="00153AAD" w:rsidRPr="00153AAD" w:rsidRDefault="00153AAD" w:rsidP="00153AAD">
      <w:pPr>
        <w:rPr>
          <w:sz w:val="22"/>
          <w:lang w:val="es-CO" w:eastAsia="ko-KR"/>
        </w:rPr>
      </w:pPr>
      <w:r w:rsidRPr="00153AAD">
        <w:rPr>
          <w:sz w:val="22"/>
          <w:lang w:val="es-CO" w:eastAsia="ko-KR"/>
        </w:rPr>
        <w:t>Para ello, llevó a cabo el diseño, emisión y divulgación de cinco boletines periódicos, que aportaron a la difusión de la cultura de rendición de cuentas entre la población de funcionarios públicos y contratistas del Ministerio.</w:t>
      </w:r>
    </w:p>
    <w:p w:rsidR="00153AAD" w:rsidRPr="00153AAD" w:rsidRDefault="00153AAD" w:rsidP="00153AAD">
      <w:pPr>
        <w:rPr>
          <w:sz w:val="22"/>
          <w:lang w:val="es-CO" w:eastAsia="ko-KR"/>
        </w:rPr>
      </w:pPr>
      <w:r w:rsidRPr="00153AAD">
        <w:rPr>
          <w:sz w:val="22"/>
          <w:lang w:val="es-CO" w:eastAsia="ko-KR"/>
        </w:rPr>
        <w:t>Los boletines fueron emitidos para todos los funcionarios a través de la red informática interna del Ministerio, incluyendo las sedes de las Direcciones Territoriales en todo el país.</w:t>
      </w:r>
    </w:p>
    <w:p w:rsidR="00153AAD" w:rsidRDefault="00153AAD" w:rsidP="00153AAD">
      <w:pPr>
        <w:rPr>
          <w:sz w:val="22"/>
          <w:lang w:val="es-CO" w:eastAsia="ko-KR"/>
        </w:rPr>
      </w:pPr>
      <w:r w:rsidRPr="00153AAD">
        <w:rPr>
          <w:sz w:val="22"/>
          <w:lang w:val="es-CO" w:eastAsia="ko-KR"/>
        </w:rPr>
        <w:t>Las fechas de la emisión de los boletines fueron las siguientes</w:t>
      </w:r>
      <w:r w:rsidR="0027330D">
        <w:rPr>
          <w:sz w:val="22"/>
          <w:lang w:val="es-CO" w:eastAsia="ko-KR"/>
        </w:rPr>
        <w:t>:</w:t>
      </w:r>
    </w:p>
    <w:tbl>
      <w:tblPr>
        <w:tblStyle w:val="Tablaconcuadrcula2"/>
        <w:tblW w:w="0" w:type="auto"/>
        <w:jc w:val="center"/>
        <w:tblLayout w:type="fixed"/>
        <w:tblLook w:val="04A0" w:firstRow="1" w:lastRow="0" w:firstColumn="1" w:lastColumn="0" w:noHBand="0" w:noVBand="1"/>
      </w:tblPr>
      <w:tblGrid>
        <w:gridCol w:w="1696"/>
        <w:gridCol w:w="1701"/>
      </w:tblGrid>
      <w:tr w:rsidR="00371447" w:rsidRPr="0027330D" w:rsidTr="00027E88">
        <w:trPr>
          <w:jc w:val="center"/>
        </w:trPr>
        <w:tc>
          <w:tcPr>
            <w:tcW w:w="1696" w:type="dxa"/>
            <w:shd w:val="clear" w:color="auto" w:fill="D9D9D9" w:themeFill="background1" w:themeFillShade="D9"/>
            <w:vAlign w:val="center"/>
          </w:tcPr>
          <w:p w:rsidR="00371447" w:rsidRPr="0027330D" w:rsidRDefault="00371447" w:rsidP="00E07195">
            <w:pPr>
              <w:jc w:val="center"/>
              <w:rPr>
                <w:rFonts w:ascii="Arial" w:hAnsi="Arial" w:cs="Arial"/>
                <w:b/>
                <w:sz w:val="18"/>
                <w:szCs w:val="18"/>
                <w:lang w:eastAsia="ko-KR"/>
              </w:rPr>
            </w:pPr>
            <w:bookmarkStart w:id="228" w:name="_Toc473412550"/>
            <w:bookmarkEnd w:id="224"/>
            <w:r w:rsidRPr="0027330D">
              <w:rPr>
                <w:rFonts w:ascii="Arial" w:hAnsi="Arial" w:cs="Arial"/>
                <w:b/>
                <w:sz w:val="18"/>
                <w:szCs w:val="18"/>
                <w:lang w:eastAsia="ko-KR"/>
              </w:rPr>
              <w:t>BOLETIN No.</w:t>
            </w:r>
            <w:bookmarkEnd w:id="228"/>
          </w:p>
        </w:tc>
        <w:tc>
          <w:tcPr>
            <w:tcW w:w="1701" w:type="dxa"/>
            <w:shd w:val="clear" w:color="auto" w:fill="D9D9D9" w:themeFill="background1" w:themeFillShade="D9"/>
            <w:vAlign w:val="center"/>
          </w:tcPr>
          <w:p w:rsidR="00371447" w:rsidRPr="00027E88" w:rsidRDefault="00371447" w:rsidP="00E07195">
            <w:pPr>
              <w:jc w:val="center"/>
              <w:rPr>
                <w:rFonts w:ascii="Arial" w:hAnsi="Arial" w:cs="Arial"/>
                <w:b/>
                <w:sz w:val="18"/>
                <w:szCs w:val="18"/>
                <w:lang w:eastAsia="ko-KR"/>
              </w:rPr>
            </w:pPr>
            <w:bookmarkStart w:id="229" w:name="_Toc473412551"/>
            <w:r w:rsidRPr="00027E88">
              <w:rPr>
                <w:rFonts w:ascii="Arial" w:hAnsi="Arial" w:cs="Arial"/>
                <w:b/>
                <w:sz w:val="18"/>
                <w:szCs w:val="18"/>
                <w:lang w:eastAsia="ko-KR"/>
              </w:rPr>
              <w:t>FECHA</w:t>
            </w:r>
            <w:bookmarkEnd w:id="229"/>
          </w:p>
        </w:tc>
      </w:tr>
      <w:tr w:rsidR="0027330D" w:rsidRPr="0027330D" w:rsidTr="00027E88">
        <w:trPr>
          <w:trHeight w:val="245"/>
          <w:jc w:val="center"/>
        </w:trPr>
        <w:tc>
          <w:tcPr>
            <w:tcW w:w="1696" w:type="dxa"/>
            <w:vAlign w:val="center"/>
          </w:tcPr>
          <w:p w:rsidR="0027330D" w:rsidRPr="00027E88" w:rsidRDefault="0027330D" w:rsidP="00027E88">
            <w:pPr>
              <w:jc w:val="center"/>
              <w:rPr>
                <w:rFonts w:ascii="Arial" w:hAnsi="Arial" w:cs="Arial"/>
                <w:sz w:val="18"/>
                <w:szCs w:val="18"/>
                <w:lang w:eastAsia="ko-KR"/>
              </w:rPr>
            </w:pPr>
            <w:bookmarkStart w:id="230" w:name="_Toc473412552"/>
            <w:r w:rsidRPr="00027E88">
              <w:rPr>
                <w:rFonts w:ascii="Arial" w:hAnsi="Arial" w:cs="Arial"/>
                <w:sz w:val="18"/>
                <w:szCs w:val="18"/>
                <w:lang w:eastAsia="ko-KR"/>
              </w:rPr>
              <w:t>1</w:t>
            </w:r>
            <w:bookmarkEnd w:id="230"/>
          </w:p>
        </w:tc>
        <w:tc>
          <w:tcPr>
            <w:tcW w:w="1701" w:type="dxa"/>
            <w:vAlign w:val="center"/>
          </w:tcPr>
          <w:p w:rsidR="0027330D" w:rsidRPr="00027E88" w:rsidRDefault="0027330D" w:rsidP="00027E88">
            <w:pPr>
              <w:pStyle w:val="Normal1"/>
              <w:ind w:left="0" w:firstLine="0"/>
              <w:jc w:val="center"/>
              <w:rPr>
                <w:rFonts w:ascii="Arial" w:hAnsi="Arial" w:cs="Arial"/>
                <w:sz w:val="18"/>
                <w:szCs w:val="18"/>
              </w:rPr>
            </w:pPr>
            <w:r w:rsidRPr="00027E88">
              <w:rPr>
                <w:rFonts w:ascii="Arial" w:hAnsi="Arial" w:cs="Arial"/>
                <w:sz w:val="18"/>
                <w:szCs w:val="18"/>
              </w:rPr>
              <w:t>21 de Junio</w:t>
            </w:r>
          </w:p>
        </w:tc>
      </w:tr>
      <w:tr w:rsidR="0027330D" w:rsidRPr="0027330D" w:rsidTr="00027E88">
        <w:trPr>
          <w:jc w:val="center"/>
        </w:trPr>
        <w:tc>
          <w:tcPr>
            <w:tcW w:w="1696" w:type="dxa"/>
            <w:vAlign w:val="center"/>
          </w:tcPr>
          <w:p w:rsidR="0027330D" w:rsidRPr="00027E88" w:rsidRDefault="0027330D" w:rsidP="00027E88">
            <w:pPr>
              <w:jc w:val="center"/>
              <w:rPr>
                <w:rFonts w:ascii="Arial" w:hAnsi="Arial" w:cs="Arial"/>
                <w:sz w:val="18"/>
                <w:szCs w:val="18"/>
                <w:lang w:eastAsia="ko-KR"/>
              </w:rPr>
            </w:pPr>
            <w:bookmarkStart w:id="231" w:name="_Toc473412554"/>
            <w:r w:rsidRPr="00027E88">
              <w:rPr>
                <w:rFonts w:ascii="Arial" w:hAnsi="Arial" w:cs="Arial"/>
                <w:sz w:val="18"/>
                <w:szCs w:val="18"/>
                <w:lang w:eastAsia="ko-KR"/>
              </w:rPr>
              <w:t>2</w:t>
            </w:r>
            <w:bookmarkEnd w:id="231"/>
          </w:p>
        </w:tc>
        <w:tc>
          <w:tcPr>
            <w:tcW w:w="1701" w:type="dxa"/>
            <w:vAlign w:val="center"/>
          </w:tcPr>
          <w:p w:rsidR="0027330D" w:rsidRPr="00027E88" w:rsidRDefault="0027330D" w:rsidP="00027E88">
            <w:pPr>
              <w:pStyle w:val="Normal1"/>
              <w:ind w:left="0" w:firstLine="0"/>
              <w:jc w:val="center"/>
              <w:rPr>
                <w:rFonts w:ascii="Arial" w:hAnsi="Arial" w:cs="Arial"/>
                <w:sz w:val="18"/>
                <w:szCs w:val="18"/>
              </w:rPr>
            </w:pPr>
            <w:r w:rsidRPr="00027E88">
              <w:rPr>
                <w:rFonts w:ascii="Arial" w:hAnsi="Arial" w:cs="Arial"/>
                <w:sz w:val="18"/>
                <w:szCs w:val="18"/>
              </w:rPr>
              <w:t>26 de julio</w:t>
            </w:r>
          </w:p>
        </w:tc>
      </w:tr>
      <w:tr w:rsidR="0027330D" w:rsidRPr="0027330D" w:rsidTr="00027E88">
        <w:trPr>
          <w:jc w:val="center"/>
        </w:trPr>
        <w:tc>
          <w:tcPr>
            <w:tcW w:w="1696" w:type="dxa"/>
            <w:vAlign w:val="center"/>
          </w:tcPr>
          <w:p w:rsidR="0027330D" w:rsidRPr="00027E88" w:rsidRDefault="0027330D" w:rsidP="00027E88">
            <w:pPr>
              <w:jc w:val="center"/>
              <w:rPr>
                <w:rFonts w:ascii="Arial" w:hAnsi="Arial" w:cs="Arial"/>
                <w:sz w:val="18"/>
                <w:szCs w:val="18"/>
                <w:lang w:eastAsia="ko-KR"/>
              </w:rPr>
            </w:pPr>
            <w:bookmarkStart w:id="232" w:name="_Toc473412556"/>
            <w:r w:rsidRPr="00027E88">
              <w:rPr>
                <w:rFonts w:ascii="Arial" w:hAnsi="Arial" w:cs="Arial"/>
                <w:sz w:val="18"/>
                <w:szCs w:val="18"/>
                <w:lang w:eastAsia="ko-KR"/>
              </w:rPr>
              <w:t>3</w:t>
            </w:r>
            <w:bookmarkEnd w:id="232"/>
          </w:p>
        </w:tc>
        <w:tc>
          <w:tcPr>
            <w:tcW w:w="1701" w:type="dxa"/>
            <w:vAlign w:val="center"/>
          </w:tcPr>
          <w:p w:rsidR="0027330D" w:rsidRPr="00027E88" w:rsidRDefault="0027330D" w:rsidP="00027E88">
            <w:pPr>
              <w:pStyle w:val="Normal1"/>
              <w:ind w:left="0" w:firstLine="0"/>
              <w:jc w:val="center"/>
              <w:rPr>
                <w:rFonts w:ascii="Arial" w:hAnsi="Arial" w:cs="Arial"/>
                <w:sz w:val="18"/>
                <w:szCs w:val="18"/>
              </w:rPr>
            </w:pPr>
            <w:r w:rsidRPr="00027E88">
              <w:rPr>
                <w:rFonts w:ascii="Arial" w:hAnsi="Arial" w:cs="Arial"/>
                <w:sz w:val="18"/>
                <w:szCs w:val="18"/>
              </w:rPr>
              <w:t>17 de septiembre</w:t>
            </w:r>
          </w:p>
        </w:tc>
      </w:tr>
      <w:tr w:rsidR="0027330D" w:rsidRPr="0027330D" w:rsidTr="00027E88">
        <w:trPr>
          <w:jc w:val="center"/>
        </w:trPr>
        <w:tc>
          <w:tcPr>
            <w:tcW w:w="1696" w:type="dxa"/>
            <w:vAlign w:val="center"/>
          </w:tcPr>
          <w:p w:rsidR="0027330D" w:rsidRPr="00027E88" w:rsidRDefault="0027330D" w:rsidP="00027E88">
            <w:pPr>
              <w:jc w:val="center"/>
              <w:rPr>
                <w:rFonts w:ascii="Arial" w:hAnsi="Arial" w:cs="Arial"/>
                <w:sz w:val="18"/>
                <w:szCs w:val="18"/>
                <w:lang w:eastAsia="ko-KR"/>
              </w:rPr>
            </w:pPr>
            <w:bookmarkStart w:id="233" w:name="_Toc473412558"/>
            <w:r w:rsidRPr="00027E88">
              <w:rPr>
                <w:rFonts w:ascii="Arial" w:hAnsi="Arial" w:cs="Arial"/>
                <w:sz w:val="18"/>
                <w:szCs w:val="18"/>
                <w:lang w:eastAsia="ko-KR"/>
              </w:rPr>
              <w:t>4</w:t>
            </w:r>
            <w:bookmarkEnd w:id="233"/>
          </w:p>
        </w:tc>
        <w:tc>
          <w:tcPr>
            <w:tcW w:w="1701" w:type="dxa"/>
            <w:vAlign w:val="center"/>
          </w:tcPr>
          <w:p w:rsidR="0027330D" w:rsidRPr="00027E88" w:rsidRDefault="0027330D" w:rsidP="00027E88">
            <w:pPr>
              <w:pStyle w:val="Normal1"/>
              <w:ind w:left="0" w:firstLine="0"/>
              <w:jc w:val="center"/>
              <w:rPr>
                <w:rFonts w:ascii="Arial" w:hAnsi="Arial" w:cs="Arial"/>
                <w:sz w:val="18"/>
                <w:szCs w:val="18"/>
              </w:rPr>
            </w:pPr>
            <w:r w:rsidRPr="00027E88">
              <w:rPr>
                <w:rFonts w:ascii="Arial" w:hAnsi="Arial" w:cs="Arial"/>
                <w:sz w:val="18"/>
                <w:szCs w:val="18"/>
              </w:rPr>
              <w:t>09 de Noviembre</w:t>
            </w:r>
          </w:p>
        </w:tc>
      </w:tr>
    </w:tbl>
    <w:p w:rsidR="00371447" w:rsidRPr="00EA6BEB" w:rsidRDefault="00371447" w:rsidP="007F2796">
      <w:pPr>
        <w:outlineLvl w:val="1"/>
        <w:rPr>
          <w:rFonts w:cs="Arial"/>
          <w:sz w:val="14"/>
          <w:lang w:val="es-CO" w:eastAsia="ko-KR"/>
        </w:rPr>
      </w:pPr>
    </w:p>
    <w:p w:rsidR="0027330D" w:rsidRPr="0027330D" w:rsidRDefault="00371447" w:rsidP="0027330D">
      <w:pPr>
        <w:rPr>
          <w:sz w:val="22"/>
          <w:lang w:val="es-ES_tradnl" w:eastAsia="ko-KR"/>
        </w:rPr>
      </w:pPr>
      <w:bookmarkStart w:id="234" w:name="_Toc473412564"/>
      <w:r w:rsidRPr="0027330D">
        <w:rPr>
          <w:b/>
          <w:sz w:val="22"/>
          <w:lang w:val="es-ES_tradnl"/>
        </w:rPr>
        <w:t>C</w:t>
      </w:r>
      <w:r w:rsidR="006C4482" w:rsidRPr="0027330D">
        <w:rPr>
          <w:b/>
          <w:sz w:val="22"/>
          <w:lang w:val="es-ES_tradnl"/>
        </w:rPr>
        <w:t>onsolidación de informe y retroalimentación</w:t>
      </w:r>
      <w:bookmarkEnd w:id="234"/>
      <w:r w:rsidR="0027330D" w:rsidRPr="0027330D">
        <w:rPr>
          <w:b/>
          <w:sz w:val="22"/>
          <w:lang w:val="es-ES_tradnl"/>
        </w:rPr>
        <w:t>:</w:t>
      </w:r>
      <w:r w:rsidR="0027330D">
        <w:rPr>
          <w:b/>
          <w:sz w:val="22"/>
          <w:lang w:val="es-ES_tradnl"/>
        </w:rPr>
        <w:t xml:space="preserve"> </w:t>
      </w:r>
      <w:bookmarkEnd w:id="115"/>
      <w:bookmarkEnd w:id="116"/>
      <w:bookmarkEnd w:id="225"/>
      <w:bookmarkEnd w:id="226"/>
      <w:bookmarkEnd w:id="227"/>
      <w:r w:rsidR="0027330D" w:rsidRPr="0027330D">
        <w:rPr>
          <w:sz w:val="22"/>
          <w:lang w:val="es-ES_tradnl" w:eastAsia="ko-KR"/>
        </w:rPr>
        <w:t xml:space="preserve">Luego de compilar la información de soporte que sustenta el cumplimiento de las acciones previstas en la Estrategia de Rendición de cuentas por parte del Ministerio de Transporte durante el año 2017, la Oficina Asesora de Planeación elaboró el informe denominado </w:t>
      </w:r>
      <w:r w:rsidR="0027330D" w:rsidRPr="0027330D">
        <w:rPr>
          <w:i/>
          <w:sz w:val="22"/>
          <w:lang w:val="es-ES_tradnl" w:eastAsia="ko-KR"/>
        </w:rPr>
        <w:t>Informe General de Gestión de</w:t>
      </w:r>
      <w:r w:rsidR="0027330D" w:rsidRPr="0027330D">
        <w:rPr>
          <w:sz w:val="22"/>
          <w:lang w:val="es-ES_tradnl" w:eastAsia="ko-KR"/>
        </w:rPr>
        <w:t xml:space="preserve"> </w:t>
      </w:r>
      <w:r w:rsidR="0027330D" w:rsidRPr="0027330D">
        <w:rPr>
          <w:i/>
          <w:sz w:val="22"/>
          <w:lang w:val="es-ES_tradnl" w:eastAsia="ko-KR"/>
        </w:rPr>
        <w:t>Rendición de Cuentas 2017</w:t>
      </w:r>
      <w:r w:rsidR="0027330D" w:rsidRPr="0027330D">
        <w:rPr>
          <w:sz w:val="22"/>
          <w:lang w:val="es-ES_tradnl" w:eastAsia="ko-KR"/>
        </w:rPr>
        <w:t>, el cual fue presentado en la página Web de la Entidad, y al que se puede acceder en el siguiente vínculo:</w:t>
      </w:r>
      <w:r w:rsidR="0027330D">
        <w:rPr>
          <w:sz w:val="22"/>
          <w:lang w:val="es-ES_tradnl" w:eastAsia="ko-KR"/>
        </w:rPr>
        <w:t xml:space="preserve"> </w:t>
      </w:r>
      <w:hyperlink r:id="rId57" w:history="1">
        <w:r w:rsidR="0027330D" w:rsidRPr="0027330D">
          <w:rPr>
            <w:rStyle w:val="Hipervnculo"/>
            <w:sz w:val="22"/>
            <w:lang w:val="es-ES_tradnl" w:eastAsia="ko-KR"/>
          </w:rPr>
          <w:t>https://www.mintransporte.gov.co/descargar.php?id=5484</w:t>
        </w:r>
      </w:hyperlink>
    </w:p>
    <w:p w:rsidR="0027330D" w:rsidRPr="00EA6BEB" w:rsidRDefault="0027330D" w:rsidP="0027330D">
      <w:pPr>
        <w:outlineLvl w:val="1"/>
        <w:rPr>
          <w:sz w:val="14"/>
          <w:lang w:val="es-ES_tradnl" w:eastAsia="ko-KR"/>
        </w:rPr>
      </w:pPr>
      <w:bookmarkStart w:id="235" w:name="_Toc410332733"/>
    </w:p>
    <w:p w:rsidR="0027330D" w:rsidRPr="00BA24EC" w:rsidRDefault="0027330D" w:rsidP="00BA24EC">
      <w:pPr>
        <w:pStyle w:val="Normal1"/>
        <w:spacing w:line="360" w:lineRule="auto"/>
        <w:ind w:left="0" w:firstLine="0"/>
        <w:contextualSpacing/>
        <w:rPr>
          <w:rFonts w:ascii="Arial" w:hAnsi="Arial" w:cs="Arial"/>
          <w:szCs w:val="22"/>
        </w:rPr>
      </w:pPr>
      <w:r w:rsidRPr="00BA24EC">
        <w:rPr>
          <w:rFonts w:ascii="Arial" w:hAnsi="Arial" w:cs="Arial"/>
          <w:szCs w:val="22"/>
        </w:rPr>
        <w:t>Por otra parte, dando alcance a la Estrategia de Rendición de Cuentas de la Entidad para la vigencia, durante los meses de enero y febrero de 2017 se realizó un ejercicio de replanteamiento de los planes de trabajo por componentes, con base en los cuales lograr el cumplimiento de esta normativa de transparencia hacia la sociedad en general.</w:t>
      </w:r>
      <w:bookmarkEnd w:id="235"/>
    </w:p>
    <w:p w:rsidR="0027330D" w:rsidRPr="00EA6BEB" w:rsidRDefault="0027330D" w:rsidP="00BA24EC">
      <w:pPr>
        <w:pStyle w:val="Normal1"/>
        <w:spacing w:line="360" w:lineRule="auto"/>
        <w:ind w:left="0" w:firstLine="0"/>
        <w:contextualSpacing/>
        <w:rPr>
          <w:rFonts w:ascii="Arial" w:hAnsi="Arial" w:cs="Arial"/>
          <w:sz w:val="14"/>
          <w:szCs w:val="22"/>
        </w:rPr>
      </w:pPr>
    </w:p>
    <w:p w:rsidR="007B6A0C" w:rsidRPr="00BA24EC" w:rsidRDefault="0027330D" w:rsidP="00BA24EC">
      <w:pPr>
        <w:pStyle w:val="Normal1"/>
        <w:spacing w:line="360" w:lineRule="auto"/>
        <w:ind w:left="0" w:firstLine="0"/>
        <w:contextualSpacing/>
        <w:rPr>
          <w:rFonts w:ascii="Arial" w:hAnsi="Arial" w:cs="Arial"/>
          <w:szCs w:val="22"/>
        </w:rPr>
      </w:pPr>
      <w:r w:rsidRPr="00BA24EC">
        <w:rPr>
          <w:rFonts w:ascii="Arial" w:hAnsi="Arial" w:cs="Arial"/>
          <w:szCs w:val="22"/>
        </w:rPr>
        <w:t>Como apoyo a la gestión realizada por cada Dependencia o Grupo de trabajo que propuso su plan de acción en el marco de la estrategia de Rendición de Cuentas del Ministerio para la vigencia 2017, la Oficina Asesora de Planeación –OAP- llevó a cabo un seguimiento permanente, cuyo propósito fue, además de verificar la consecución de las metas planificadas, evaluar el ejercicio cumplido y tener elementos de juicio para proponer mejoras para la vigencia 2018.</w:t>
      </w:r>
    </w:p>
    <w:sectPr w:rsidR="007B6A0C" w:rsidRPr="00BA24EC" w:rsidSect="0001099A">
      <w:headerReference w:type="default" r:id="rId58"/>
      <w:footerReference w:type="default" r:id="rId59"/>
      <w:pgSz w:w="12240" w:h="15840" w:code="1"/>
      <w:pgMar w:top="1701" w:right="1418" w:bottom="1702" w:left="1985" w:header="709" w:footer="8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C12" w:rsidRDefault="00377C12" w:rsidP="00004217">
      <w:pPr>
        <w:spacing w:line="240" w:lineRule="auto"/>
      </w:pPr>
      <w:r>
        <w:separator/>
      </w:r>
    </w:p>
  </w:endnote>
  <w:endnote w:type="continuationSeparator" w:id="0">
    <w:p w:rsidR="00377C12" w:rsidRDefault="00377C12" w:rsidP="000042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Futura Std Book">
    <w:altName w:val="Cambria"/>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882873"/>
      <w:docPartObj>
        <w:docPartGallery w:val="Page Numbers (Bottom of Page)"/>
        <w:docPartUnique/>
      </w:docPartObj>
    </w:sdtPr>
    <w:sdtContent>
      <w:p w:rsidR="00576E08" w:rsidRPr="002216B9" w:rsidRDefault="00576E08" w:rsidP="00A42E75">
        <w:pPr>
          <w:pStyle w:val="Piedepgina"/>
          <w:ind w:right="360"/>
          <w:jc w:val="center"/>
          <w:rPr>
            <w:rFonts w:ascii="Garamond" w:hAnsi="Garamond" w:cs="Arial"/>
            <w:sz w:val="18"/>
            <w:szCs w:val="18"/>
          </w:rPr>
        </w:pPr>
        <w:r>
          <w:rPr>
            <w:rFonts w:ascii="Garamond" w:hAnsi="Garamond" w:cs="Arial"/>
            <w:sz w:val="18"/>
            <w:szCs w:val="18"/>
          </w:rPr>
          <w:t xml:space="preserve">AK 60 No 24-09 piso 9-10 Centro Comercial Gran Estación II, Bogotá D.C., Colombia, </w:t>
        </w:r>
        <w:r w:rsidRPr="002216B9">
          <w:rPr>
            <w:rFonts w:ascii="Garamond" w:hAnsi="Garamond" w:cs="Arial"/>
            <w:sz w:val="18"/>
            <w:szCs w:val="18"/>
          </w:rPr>
          <w:t xml:space="preserve">Teléfono: (57+1) 3240800  </w:t>
        </w:r>
      </w:p>
      <w:p w:rsidR="00576E08" w:rsidRPr="00FD014C" w:rsidRDefault="00576E08" w:rsidP="00A42E75">
        <w:pPr>
          <w:tabs>
            <w:tab w:val="center" w:pos="4252"/>
            <w:tab w:val="right" w:pos="8504"/>
          </w:tabs>
          <w:spacing w:line="240" w:lineRule="auto"/>
          <w:ind w:right="360"/>
          <w:jc w:val="center"/>
        </w:pPr>
        <w:r w:rsidRPr="002216B9">
          <w:rPr>
            <w:rFonts w:ascii="Garamond" w:hAnsi="Garamond" w:cs="Arial"/>
            <w:sz w:val="18"/>
            <w:szCs w:val="18"/>
          </w:rPr>
          <w:t>http://www.mintransporte.gov.co</w:t>
        </w:r>
        <w:r>
          <w:rPr>
            <w:noProof/>
            <w:lang w:val="es-CO" w:eastAsia="es-CO"/>
          </w:rPr>
          <mc:AlternateContent>
            <mc:Choice Requires="wps">
              <w:drawing>
                <wp:anchor distT="0" distB="0" distL="114300" distR="114300" simplePos="0" relativeHeight="251659264" behindDoc="0" locked="0" layoutInCell="1" allowOverlap="1" wp14:anchorId="583736C5" wp14:editId="593D09EB">
                  <wp:simplePos x="0" y="0"/>
                  <wp:positionH relativeFrom="page">
                    <wp:align>right</wp:align>
                  </wp:positionH>
                  <wp:positionV relativeFrom="page">
                    <wp:align>bottom</wp:align>
                  </wp:positionV>
                  <wp:extent cx="1422400" cy="1105535"/>
                  <wp:effectExtent l="0" t="0" r="6350" b="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05535"/>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576E08" w:rsidRPr="00A42E75" w:rsidRDefault="00576E08">
                              <w:pPr>
                                <w:jc w:val="center"/>
                                <w:rPr>
                                  <w:sz w:val="18"/>
                                  <w:szCs w:val="72"/>
                                </w:rPr>
                              </w:pPr>
                              <w:r w:rsidRPr="00A42E75">
                                <w:rPr>
                                  <w:rFonts w:asciiTheme="minorHAnsi" w:eastAsiaTheme="minorEastAsia" w:hAnsiTheme="minorHAnsi"/>
                                  <w:sz w:val="16"/>
                                </w:rPr>
                                <w:fldChar w:fldCharType="begin"/>
                              </w:r>
                              <w:r w:rsidRPr="00A42E75">
                                <w:rPr>
                                  <w:sz w:val="18"/>
                                </w:rPr>
                                <w:instrText>PAGE    \* MERGEFORMAT</w:instrText>
                              </w:r>
                              <w:r w:rsidRPr="00A42E75">
                                <w:rPr>
                                  <w:rFonts w:asciiTheme="minorHAnsi" w:eastAsiaTheme="minorEastAsia" w:hAnsiTheme="minorHAnsi"/>
                                  <w:sz w:val="16"/>
                                </w:rPr>
                                <w:fldChar w:fldCharType="separate"/>
                              </w:r>
                              <w:r w:rsidR="000C3469" w:rsidRPr="000C3469">
                                <w:rPr>
                                  <w:rFonts w:asciiTheme="majorHAnsi" w:eastAsiaTheme="majorEastAsia" w:hAnsiTheme="majorHAnsi" w:cstheme="majorBidi"/>
                                  <w:noProof/>
                                  <w:color w:val="FFFFFF" w:themeColor="background1"/>
                                  <w:sz w:val="48"/>
                                  <w:szCs w:val="72"/>
                                </w:rPr>
                                <w:t>86</w:t>
                              </w:r>
                              <w:r w:rsidRPr="00A42E75">
                                <w:rPr>
                                  <w:rFonts w:asciiTheme="majorHAnsi" w:eastAsiaTheme="majorEastAsia" w:hAnsiTheme="majorHAnsi" w:cstheme="majorBidi"/>
                                  <w:color w:val="FFFFFF" w:themeColor="background1"/>
                                  <w:sz w:val="48"/>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736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26" type="#_x0000_t5" style="position:absolute;left:0;text-align:left;margin-left:60.8pt;margin-top:0;width:112pt;height:87.0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" adj="21600" fillcolor="#d2eaf1" stroked="f">
                  <v:textbox>
                    <w:txbxContent>
                      <w:p w:rsidR="00576E08" w:rsidRPr="00A42E75" w:rsidRDefault="00576E08">
                        <w:pPr>
                          <w:jc w:val="center"/>
                          <w:rPr>
                            <w:sz w:val="18"/>
                            <w:szCs w:val="72"/>
                          </w:rPr>
                        </w:pPr>
                        <w:r w:rsidRPr="00A42E75">
                          <w:rPr>
                            <w:rFonts w:asciiTheme="minorHAnsi" w:eastAsiaTheme="minorEastAsia" w:hAnsiTheme="minorHAnsi"/>
                            <w:sz w:val="16"/>
                          </w:rPr>
                          <w:fldChar w:fldCharType="begin"/>
                        </w:r>
                        <w:r w:rsidRPr="00A42E75">
                          <w:rPr>
                            <w:sz w:val="18"/>
                          </w:rPr>
                          <w:instrText>PAGE    \* MERGEFORMAT</w:instrText>
                        </w:r>
                        <w:r w:rsidRPr="00A42E75">
                          <w:rPr>
                            <w:rFonts w:asciiTheme="minorHAnsi" w:eastAsiaTheme="minorEastAsia" w:hAnsiTheme="minorHAnsi"/>
                            <w:sz w:val="16"/>
                          </w:rPr>
                          <w:fldChar w:fldCharType="separate"/>
                        </w:r>
                        <w:r w:rsidR="000C3469" w:rsidRPr="000C3469">
                          <w:rPr>
                            <w:rFonts w:asciiTheme="majorHAnsi" w:eastAsiaTheme="majorEastAsia" w:hAnsiTheme="majorHAnsi" w:cstheme="majorBidi"/>
                            <w:noProof/>
                            <w:color w:val="FFFFFF" w:themeColor="background1"/>
                            <w:sz w:val="48"/>
                            <w:szCs w:val="72"/>
                          </w:rPr>
                          <w:t>86</w:t>
                        </w:r>
                        <w:r w:rsidRPr="00A42E75">
                          <w:rPr>
                            <w:rFonts w:asciiTheme="majorHAnsi" w:eastAsiaTheme="majorEastAsia" w:hAnsiTheme="majorHAnsi" w:cstheme="majorBidi"/>
                            <w:color w:val="FFFFFF" w:themeColor="background1"/>
                            <w:sz w:val="48"/>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C12" w:rsidRDefault="00377C12" w:rsidP="00004217">
      <w:pPr>
        <w:spacing w:line="240" w:lineRule="auto"/>
      </w:pPr>
      <w:r>
        <w:separator/>
      </w:r>
    </w:p>
  </w:footnote>
  <w:footnote w:type="continuationSeparator" w:id="0">
    <w:p w:rsidR="00377C12" w:rsidRDefault="00377C12" w:rsidP="000042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E08" w:rsidRDefault="00576E08" w:rsidP="00921E0D">
    <w:pPr>
      <w:pStyle w:val="Encabezado"/>
    </w:pPr>
    <w:r>
      <w:rPr>
        <w:noProof/>
        <w:lang w:val="es-CO" w:eastAsia="es-CO"/>
      </w:rPr>
      <w:drawing>
        <wp:inline distT="0" distB="0" distL="0" distR="0">
          <wp:extent cx="2114550" cy="504825"/>
          <wp:effectExtent l="0" t="0" r="0" b="9525"/>
          <wp:docPr id="4" name="Imagen 2" descr="1-MINTRANSPOR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MINTRANSPOR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04825"/>
                  </a:xfrm>
                  <a:prstGeom prst="rect">
                    <a:avLst/>
                  </a:prstGeom>
                  <a:noFill/>
                  <a:ln>
                    <a:noFill/>
                  </a:ln>
                </pic:spPr>
              </pic:pic>
            </a:graphicData>
          </a:graphic>
        </wp:inline>
      </w:drawing>
    </w:r>
    <w:r>
      <w:tab/>
    </w:r>
    <w:r>
      <w:tab/>
    </w:r>
    <w:r>
      <w:rPr>
        <w:noProof/>
        <w:lang w:val="es-CO" w:eastAsia="es-CO"/>
      </w:rPr>
      <w:drawing>
        <wp:inline distT="0" distB="0" distL="0" distR="0">
          <wp:extent cx="1304925" cy="647700"/>
          <wp:effectExtent l="0" t="0" r="9525" b="0"/>
          <wp:docPr id="1" name="Imagen 3" descr="logo-LEMA 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EMA GOBIER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647700"/>
                  </a:xfrm>
                  <a:prstGeom prst="rect">
                    <a:avLst/>
                  </a:prstGeom>
                  <a:noFill/>
                  <a:ln>
                    <a:noFill/>
                  </a:ln>
                </pic:spPr>
              </pic:pic>
            </a:graphicData>
          </a:graphic>
        </wp:inline>
      </w:drawing>
    </w:r>
  </w:p>
  <w:p w:rsidR="00576E08" w:rsidRPr="00921E0D" w:rsidRDefault="00576E08" w:rsidP="00921E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676677C"/>
    <w:lvl w:ilvl="0">
      <w:start w:val="1"/>
      <w:numFmt w:val="decimal"/>
      <w:pStyle w:val="Listaconnmeros"/>
      <w:lvlText w:val="%1."/>
      <w:lvlJc w:val="left"/>
      <w:pPr>
        <w:tabs>
          <w:tab w:val="num" w:pos="360"/>
        </w:tabs>
        <w:ind w:left="360" w:hanging="360"/>
      </w:pPr>
    </w:lvl>
  </w:abstractNum>
  <w:abstractNum w:abstractNumId="1" w15:restartNumberingAfterBreak="0">
    <w:nsid w:val="02483459"/>
    <w:multiLevelType w:val="hybridMultilevel"/>
    <w:tmpl w:val="06F06C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865776"/>
    <w:multiLevelType w:val="multilevel"/>
    <w:tmpl w:val="38C66F56"/>
    <w:styleLink w:val="Lista41"/>
    <w:lvl w:ilvl="0">
      <w:start w:val="1"/>
      <w:numFmt w:val="decimal"/>
      <w:lvlText w:val="%1."/>
      <w:lvlJc w:val="left"/>
      <w:pPr>
        <w:tabs>
          <w:tab w:val="num" w:pos="360"/>
        </w:tabs>
        <w:ind w:left="360" w:hanging="360"/>
      </w:pPr>
      <w:rPr>
        <w:position w:val="0"/>
        <w:sz w:val="24"/>
        <w:szCs w:val="24"/>
        <w:rtl w:val="0"/>
      </w:rPr>
    </w:lvl>
    <w:lvl w:ilvl="1">
      <w:start w:val="1"/>
      <w:numFmt w:val="decimal"/>
      <w:lvlText w:val="%1.%2."/>
      <w:lvlJc w:val="left"/>
      <w:pPr>
        <w:tabs>
          <w:tab w:val="num" w:pos="2517"/>
        </w:tabs>
        <w:ind w:left="2517" w:hanging="390"/>
      </w:pPr>
      <w:rPr>
        <w:position w:val="0"/>
        <w:sz w:val="24"/>
        <w:szCs w:val="24"/>
        <w:rtl w:val="0"/>
      </w:rPr>
    </w:lvl>
    <w:lvl w:ilvl="2">
      <w:start w:val="2"/>
      <w:numFmt w:val="decimal"/>
      <w:lvlText w:val="%1.%2.%3."/>
      <w:lvlJc w:val="left"/>
      <w:pPr>
        <w:tabs>
          <w:tab w:val="num" w:pos="720"/>
        </w:tabs>
        <w:ind w:left="720" w:hanging="720"/>
      </w:pPr>
      <w:rPr>
        <w:position w:val="0"/>
        <w:sz w:val="24"/>
        <w:szCs w:val="24"/>
        <w:rtl w:val="0"/>
      </w:rPr>
    </w:lvl>
    <w:lvl w:ilvl="3">
      <w:start w:val="1"/>
      <w:numFmt w:val="decimal"/>
      <w:lvlText w:val="%1.%2.%3.%4."/>
      <w:lvlJc w:val="left"/>
      <w:pPr>
        <w:tabs>
          <w:tab w:val="num" w:pos="2160"/>
        </w:tabs>
        <w:ind w:left="2160" w:hanging="1080"/>
      </w:pPr>
      <w:rPr>
        <w:position w:val="0"/>
        <w:sz w:val="24"/>
        <w:szCs w:val="24"/>
        <w:rtl w:val="0"/>
      </w:rPr>
    </w:lvl>
    <w:lvl w:ilvl="4">
      <w:start w:val="1"/>
      <w:numFmt w:val="decimal"/>
      <w:lvlText w:val="%1.%2.%3.%4.%5."/>
      <w:lvlJc w:val="left"/>
      <w:pPr>
        <w:tabs>
          <w:tab w:val="num" w:pos="2520"/>
        </w:tabs>
        <w:ind w:left="2520" w:hanging="1080"/>
      </w:pPr>
      <w:rPr>
        <w:position w:val="0"/>
        <w:sz w:val="24"/>
        <w:szCs w:val="24"/>
        <w:rtl w:val="0"/>
      </w:rPr>
    </w:lvl>
    <w:lvl w:ilvl="5">
      <w:start w:val="1"/>
      <w:numFmt w:val="decimal"/>
      <w:lvlText w:val="%1.%2.%3.%4.%5.%6."/>
      <w:lvlJc w:val="left"/>
      <w:pPr>
        <w:tabs>
          <w:tab w:val="num" w:pos="3240"/>
        </w:tabs>
        <w:ind w:left="3240" w:hanging="1440"/>
      </w:pPr>
      <w:rPr>
        <w:position w:val="0"/>
        <w:sz w:val="24"/>
        <w:szCs w:val="24"/>
        <w:rtl w:val="0"/>
      </w:rPr>
    </w:lvl>
    <w:lvl w:ilvl="6">
      <w:start w:val="1"/>
      <w:numFmt w:val="decimal"/>
      <w:lvlText w:val="%1.%2.%3.%4.%5.%6.%7."/>
      <w:lvlJc w:val="left"/>
      <w:pPr>
        <w:tabs>
          <w:tab w:val="num" w:pos="3600"/>
        </w:tabs>
        <w:ind w:left="3600" w:hanging="1440"/>
      </w:pPr>
      <w:rPr>
        <w:position w:val="0"/>
        <w:sz w:val="24"/>
        <w:szCs w:val="24"/>
        <w:rtl w:val="0"/>
      </w:rPr>
    </w:lvl>
    <w:lvl w:ilvl="7">
      <w:start w:val="1"/>
      <w:numFmt w:val="decimal"/>
      <w:lvlText w:val="%1.%2.%3.%4.%5.%6.%7.%8."/>
      <w:lvlJc w:val="left"/>
      <w:pPr>
        <w:tabs>
          <w:tab w:val="num" w:pos="4320"/>
        </w:tabs>
        <w:ind w:left="4320" w:hanging="1800"/>
      </w:pPr>
      <w:rPr>
        <w:position w:val="0"/>
        <w:sz w:val="24"/>
        <w:szCs w:val="24"/>
        <w:rtl w:val="0"/>
      </w:rPr>
    </w:lvl>
    <w:lvl w:ilvl="8">
      <w:start w:val="1"/>
      <w:numFmt w:val="decimal"/>
      <w:lvlText w:val="%1.%2.%3.%4.%5.%6.%7.%8.%9."/>
      <w:lvlJc w:val="left"/>
      <w:pPr>
        <w:tabs>
          <w:tab w:val="num" w:pos="4680"/>
        </w:tabs>
        <w:ind w:left="4680" w:hanging="1800"/>
      </w:pPr>
      <w:rPr>
        <w:position w:val="0"/>
        <w:sz w:val="24"/>
        <w:szCs w:val="24"/>
        <w:rtl w:val="0"/>
      </w:rPr>
    </w:lvl>
  </w:abstractNum>
  <w:abstractNum w:abstractNumId="3" w15:restartNumberingAfterBreak="0">
    <w:nsid w:val="042830FF"/>
    <w:multiLevelType w:val="hybridMultilevel"/>
    <w:tmpl w:val="361C501C"/>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964EEF"/>
    <w:multiLevelType w:val="hybridMultilevel"/>
    <w:tmpl w:val="C1DC94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697007E"/>
    <w:multiLevelType w:val="hybridMultilevel"/>
    <w:tmpl w:val="2E5033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8C34688"/>
    <w:multiLevelType w:val="hybridMultilevel"/>
    <w:tmpl w:val="8598C160"/>
    <w:lvl w:ilvl="0" w:tplc="240A0001">
      <w:start w:val="1"/>
      <w:numFmt w:val="bullet"/>
      <w:lvlText w:val=""/>
      <w:lvlJc w:val="left"/>
      <w:pPr>
        <w:ind w:left="381" w:hanging="360"/>
      </w:pPr>
      <w:rPr>
        <w:rFonts w:ascii="Symbol" w:hAnsi="Symbol" w:hint="default"/>
      </w:rPr>
    </w:lvl>
    <w:lvl w:ilvl="1" w:tplc="240A0003" w:tentative="1">
      <w:start w:val="1"/>
      <w:numFmt w:val="bullet"/>
      <w:lvlText w:val="o"/>
      <w:lvlJc w:val="left"/>
      <w:pPr>
        <w:ind w:left="1101" w:hanging="360"/>
      </w:pPr>
      <w:rPr>
        <w:rFonts w:ascii="Courier New" w:hAnsi="Courier New" w:cs="Courier New" w:hint="default"/>
      </w:rPr>
    </w:lvl>
    <w:lvl w:ilvl="2" w:tplc="240A0005" w:tentative="1">
      <w:start w:val="1"/>
      <w:numFmt w:val="bullet"/>
      <w:lvlText w:val=""/>
      <w:lvlJc w:val="left"/>
      <w:pPr>
        <w:ind w:left="1821" w:hanging="360"/>
      </w:pPr>
      <w:rPr>
        <w:rFonts w:ascii="Wingdings" w:hAnsi="Wingdings" w:hint="default"/>
      </w:rPr>
    </w:lvl>
    <w:lvl w:ilvl="3" w:tplc="240A0001" w:tentative="1">
      <w:start w:val="1"/>
      <w:numFmt w:val="bullet"/>
      <w:lvlText w:val=""/>
      <w:lvlJc w:val="left"/>
      <w:pPr>
        <w:ind w:left="2541" w:hanging="360"/>
      </w:pPr>
      <w:rPr>
        <w:rFonts w:ascii="Symbol" w:hAnsi="Symbol" w:hint="default"/>
      </w:rPr>
    </w:lvl>
    <w:lvl w:ilvl="4" w:tplc="240A0003" w:tentative="1">
      <w:start w:val="1"/>
      <w:numFmt w:val="bullet"/>
      <w:lvlText w:val="o"/>
      <w:lvlJc w:val="left"/>
      <w:pPr>
        <w:ind w:left="3261" w:hanging="360"/>
      </w:pPr>
      <w:rPr>
        <w:rFonts w:ascii="Courier New" w:hAnsi="Courier New" w:cs="Courier New" w:hint="default"/>
      </w:rPr>
    </w:lvl>
    <w:lvl w:ilvl="5" w:tplc="240A0005" w:tentative="1">
      <w:start w:val="1"/>
      <w:numFmt w:val="bullet"/>
      <w:lvlText w:val=""/>
      <w:lvlJc w:val="left"/>
      <w:pPr>
        <w:ind w:left="3981" w:hanging="360"/>
      </w:pPr>
      <w:rPr>
        <w:rFonts w:ascii="Wingdings" w:hAnsi="Wingdings" w:hint="default"/>
      </w:rPr>
    </w:lvl>
    <w:lvl w:ilvl="6" w:tplc="240A0001" w:tentative="1">
      <w:start w:val="1"/>
      <w:numFmt w:val="bullet"/>
      <w:lvlText w:val=""/>
      <w:lvlJc w:val="left"/>
      <w:pPr>
        <w:ind w:left="4701" w:hanging="360"/>
      </w:pPr>
      <w:rPr>
        <w:rFonts w:ascii="Symbol" w:hAnsi="Symbol" w:hint="default"/>
      </w:rPr>
    </w:lvl>
    <w:lvl w:ilvl="7" w:tplc="240A0003" w:tentative="1">
      <w:start w:val="1"/>
      <w:numFmt w:val="bullet"/>
      <w:lvlText w:val="o"/>
      <w:lvlJc w:val="left"/>
      <w:pPr>
        <w:ind w:left="5421" w:hanging="360"/>
      </w:pPr>
      <w:rPr>
        <w:rFonts w:ascii="Courier New" w:hAnsi="Courier New" w:cs="Courier New" w:hint="default"/>
      </w:rPr>
    </w:lvl>
    <w:lvl w:ilvl="8" w:tplc="240A0005" w:tentative="1">
      <w:start w:val="1"/>
      <w:numFmt w:val="bullet"/>
      <w:lvlText w:val=""/>
      <w:lvlJc w:val="left"/>
      <w:pPr>
        <w:ind w:left="6141" w:hanging="360"/>
      </w:pPr>
      <w:rPr>
        <w:rFonts w:ascii="Wingdings" w:hAnsi="Wingdings" w:hint="default"/>
      </w:rPr>
    </w:lvl>
  </w:abstractNum>
  <w:abstractNum w:abstractNumId="7" w15:restartNumberingAfterBreak="0">
    <w:nsid w:val="0A8E1A32"/>
    <w:multiLevelType w:val="hybridMultilevel"/>
    <w:tmpl w:val="4C02431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B08631F"/>
    <w:multiLevelType w:val="hybridMultilevel"/>
    <w:tmpl w:val="F69ECBAA"/>
    <w:lvl w:ilvl="0" w:tplc="A2562DC6">
      <w:numFmt w:val="bullet"/>
      <w:lvlText w:val="•"/>
      <w:lvlJc w:val="left"/>
      <w:pPr>
        <w:ind w:left="360" w:hanging="360"/>
      </w:pPr>
      <w:rPr>
        <w:rFonts w:ascii="Arial" w:eastAsia="Times New Roman"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BBA1A11"/>
    <w:multiLevelType w:val="hybridMultilevel"/>
    <w:tmpl w:val="585C2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C072A16"/>
    <w:multiLevelType w:val="hybridMultilevel"/>
    <w:tmpl w:val="713A17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C7F1908"/>
    <w:multiLevelType w:val="hybridMultilevel"/>
    <w:tmpl w:val="D80CBF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0CB36EC4"/>
    <w:multiLevelType w:val="hybridMultilevel"/>
    <w:tmpl w:val="6E6458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CDA3E74"/>
    <w:multiLevelType w:val="hybridMultilevel"/>
    <w:tmpl w:val="24588B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0D7B53EA"/>
    <w:multiLevelType w:val="hybridMultilevel"/>
    <w:tmpl w:val="F022DF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DCC7E40"/>
    <w:multiLevelType w:val="hybridMultilevel"/>
    <w:tmpl w:val="5CDE1DD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07A5156"/>
    <w:multiLevelType w:val="hybridMultilevel"/>
    <w:tmpl w:val="115C6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095580C"/>
    <w:multiLevelType w:val="hybridMultilevel"/>
    <w:tmpl w:val="19A092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1326C35"/>
    <w:multiLevelType w:val="hybridMultilevel"/>
    <w:tmpl w:val="258495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11575901"/>
    <w:multiLevelType w:val="multilevel"/>
    <w:tmpl w:val="9A9E4C16"/>
    <w:styleLink w:val="Estiloimportado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0" w15:restartNumberingAfterBreak="0">
    <w:nsid w:val="13820E7F"/>
    <w:multiLevelType w:val="hybridMultilevel"/>
    <w:tmpl w:val="2F24C3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143F70A2"/>
    <w:multiLevelType w:val="multilevel"/>
    <w:tmpl w:val="7430D6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51C1205"/>
    <w:multiLevelType w:val="hybridMultilevel"/>
    <w:tmpl w:val="F62A6C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15B03E39"/>
    <w:multiLevelType w:val="hybridMultilevel"/>
    <w:tmpl w:val="AF68C9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18135179"/>
    <w:multiLevelType w:val="hybridMultilevel"/>
    <w:tmpl w:val="3E080E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8633DAE"/>
    <w:multiLevelType w:val="hybridMultilevel"/>
    <w:tmpl w:val="67A23E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191E4937"/>
    <w:multiLevelType w:val="multilevel"/>
    <w:tmpl w:val="F7120F9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9E3545F"/>
    <w:multiLevelType w:val="hybridMultilevel"/>
    <w:tmpl w:val="EA0669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1B9B453B"/>
    <w:multiLevelType w:val="hybridMultilevel"/>
    <w:tmpl w:val="46521840"/>
    <w:lvl w:ilvl="0" w:tplc="B67E855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E182C90"/>
    <w:multiLevelType w:val="hybridMultilevel"/>
    <w:tmpl w:val="62247C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1BC666F"/>
    <w:multiLevelType w:val="hybridMultilevel"/>
    <w:tmpl w:val="F4E201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24773033"/>
    <w:multiLevelType w:val="hybridMultilevel"/>
    <w:tmpl w:val="7DBC13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259504A2"/>
    <w:multiLevelType w:val="hybridMultilevel"/>
    <w:tmpl w:val="EAFEB7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9BE09F3"/>
    <w:multiLevelType w:val="hybridMultilevel"/>
    <w:tmpl w:val="AC0248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D98648B"/>
    <w:multiLevelType w:val="hybridMultilevel"/>
    <w:tmpl w:val="0338D4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2F22554F"/>
    <w:multiLevelType w:val="hybridMultilevel"/>
    <w:tmpl w:val="7E68E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FD95B00"/>
    <w:multiLevelType w:val="hybridMultilevel"/>
    <w:tmpl w:val="A79CB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0515BE2"/>
    <w:multiLevelType w:val="hybridMultilevel"/>
    <w:tmpl w:val="8EC801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324E0E59"/>
    <w:multiLevelType w:val="multilevel"/>
    <w:tmpl w:val="3040939C"/>
    <w:styleLink w:val="Lista3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9" w15:restartNumberingAfterBreak="0">
    <w:nsid w:val="34155322"/>
    <w:multiLevelType w:val="multilevel"/>
    <w:tmpl w:val="2A4863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35A24FCF"/>
    <w:multiLevelType w:val="multilevel"/>
    <w:tmpl w:val="F09AE62E"/>
    <w:lvl w:ilvl="0">
      <w:start w:val="1"/>
      <w:numFmt w:val="decimal"/>
      <w:pStyle w:val="TITULOSTE"/>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5B50CCE"/>
    <w:multiLevelType w:val="hybridMultilevel"/>
    <w:tmpl w:val="0C268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5BA632B"/>
    <w:multiLevelType w:val="hybridMultilevel"/>
    <w:tmpl w:val="69A678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365E74E4"/>
    <w:multiLevelType w:val="hybridMultilevel"/>
    <w:tmpl w:val="624216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37962B78"/>
    <w:multiLevelType w:val="hybridMultilevel"/>
    <w:tmpl w:val="9E84B4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37A26F58"/>
    <w:multiLevelType w:val="hybridMultilevel"/>
    <w:tmpl w:val="A7CA74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3A965AD9"/>
    <w:multiLevelType w:val="multilevel"/>
    <w:tmpl w:val="FD60E1D4"/>
    <w:styleLink w:val="List0"/>
    <w:lvl w:ilvl="0">
      <w:start w:val="1"/>
      <w:numFmt w:val="decimal"/>
      <w:lvlText w:val="%1."/>
      <w:lvlJc w:val="left"/>
      <w:pPr>
        <w:tabs>
          <w:tab w:val="num" w:pos="360"/>
        </w:tabs>
        <w:ind w:left="360" w:hanging="360"/>
      </w:pPr>
      <w:rPr>
        <w:position w:val="0"/>
        <w:sz w:val="24"/>
        <w:szCs w:val="24"/>
        <w:rtl w:val="0"/>
      </w:rPr>
    </w:lvl>
    <w:lvl w:ilvl="1">
      <w:start w:val="1"/>
      <w:numFmt w:val="decimal"/>
      <w:lvlText w:val="%1.%2."/>
      <w:lvlJc w:val="left"/>
      <w:pPr>
        <w:tabs>
          <w:tab w:val="num" w:pos="2517"/>
        </w:tabs>
        <w:ind w:left="2517" w:hanging="390"/>
      </w:pPr>
      <w:rPr>
        <w:position w:val="0"/>
        <w:sz w:val="24"/>
        <w:szCs w:val="24"/>
        <w:rtl w:val="0"/>
      </w:rPr>
    </w:lvl>
    <w:lvl w:ilvl="2">
      <w:start w:val="1"/>
      <w:numFmt w:val="decimal"/>
      <w:lvlText w:val="%1.%2.%3."/>
      <w:lvlJc w:val="left"/>
      <w:pPr>
        <w:tabs>
          <w:tab w:val="num" w:pos="708"/>
        </w:tabs>
        <w:ind w:left="708" w:hanging="708"/>
      </w:pPr>
      <w:rPr>
        <w:position w:val="0"/>
        <w:sz w:val="24"/>
        <w:szCs w:val="24"/>
        <w:rtl w:val="0"/>
      </w:rPr>
    </w:lvl>
    <w:lvl w:ilvl="3">
      <w:start w:val="1"/>
      <w:numFmt w:val="decimal"/>
      <w:lvlText w:val="%1.%2.%3.%4."/>
      <w:lvlJc w:val="left"/>
      <w:pPr>
        <w:tabs>
          <w:tab w:val="num" w:pos="2160"/>
        </w:tabs>
        <w:ind w:left="2160" w:hanging="1080"/>
      </w:pPr>
      <w:rPr>
        <w:position w:val="0"/>
        <w:sz w:val="24"/>
        <w:szCs w:val="24"/>
        <w:rtl w:val="0"/>
      </w:rPr>
    </w:lvl>
    <w:lvl w:ilvl="4">
      <w:start w:val="1"/>
      <w:numFmt w:val="decimal"/>
      <w:lvlText w:val="%1.%2.%3.%4.%5."/>
      <w:lvlJc w:val="left"/>
      <w:pPr>
        <w:tabs>
          <w:tab w:val="num" w:pos="2520"/>
        </w:tabs>
        <w:ind w:left="2520" w:hanging="1080"/>
      </w:pPr>
      <w:rPr>
        <w:position w:val="0"/>
        <w:sz w:val="24"/>
        <w:szCs w:val="24"/>
        <w:rtl w:val="0"/>
      </w:rPr>
    </w:lvl>
    <w:lvl w:ilvl="5">
      <w:start w:val="1"/>
      <w:numFmt w:val="decimal"/>
      <w:lvlText w:val="%1.%2.%3.%4.%5.%6."/>
      <w:lvlJc w:val="left"/>
      <w:pPr>
        <w:tabs>
          <w:tab w:val="num" w:pos="3240"/>
        </w:tabs>
        <w:ind w:left="3240" w:hanging="1440"/>
      </w:pPr>
      <w:rPr>
        <w:position w:val="0"/>
        <w:sz w:val="24"/>
        <w:szCs w:val="24"/>
        <w:rtl w:val="0"/>
      </w:rPr>
    </w:lvl>
    <w:lvl w:ilvl="6">
      <w:start w:val="1"/>
      <w:numFmt w:val="decimal"/>
      <w:lvlText w:val="%1.%2.%3.%4.%5.%6.%7."/>
      <w:lvlJc w:val="left"/>
      <w:pPr>
        <w:tabs>
          <w:tab w:val="num" w:pos="3600"/>
        </w:tabs>
        <w:ind w:left="3600" w:hanging="1440"/>
      </w:pPr>
      <w:rPr>
        <w:position w:val="0"/>
        <w:sz w:val="24"/>
        <w:szCs w:val="24"/>
        <w:rtl w:val="0"/>
      </w:rPr>
    </w:lvl>
    <w:lvl w:ilvl="7">
      <w:start w:val="1"/>
      <w:numFmt w:val="decimal"/>
      <w:lvlText w:val="%1.%2.%3.%4.%5.%6.%7.%8."/>
      <w:lvlJc w:val="left"/>
      <w:pPr>
        <w:tabs>
          <w:tab w:val="num" w:pos="4320"/>
        </w:tabs>
        <w:ind w:left="4320" w:hanging="1800"/>
      </w:pPr>
      <w:rPr>
        <w:position w:val="0"/>
        <w:sz w:val="24"/>
        <w:szCs w:val="24"/>
        <w:rtl w:val="0"/>
      </w:rPr>
    </w:lvl>
    <w:lvl w:ilvl="8">
      <w:start w:val="1"/>
      <w:numFmt w:val="decimal"/>
      <w:lvlText w:val="%1.%2.%3.%4.%5.%6.%7.%8.%9."/>
      <w:lvlJc w:val="left"/>
      <w:pPr>
        <w:tabs>
          <w:tab w:val="num" w:pos="4680"/>
        </w:tabs>
        <w:ind w:left="4680" w:hanging="1800"/>
      </w:pPr>
      <w:rPr>
        <w:position w:val="0"/>
        <w:sz w:val="24"/>
        <w:szCs w:val="24"/>
        <w:rtl w:val="0"/>
      </w:rPr>
    </w:lvl>
  </w:abstractNum>
  <w:abstractNum w:abstractNumId="47" w15:restartNumberingAfterBreak="0">
    <w:nsid w:val="3ABA4431"/>
    <w:multiLevelType w:val="hybridMultilevel"/>
    <w:tmpl w:val="90C2C6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3CED093E"/>
    <w:multiLevelType w:val="hybridMultilevel"/>
    <w:tmpl w:val="88CECA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3E3F4290"/>
    <w:multiLevelType w:val="hybridMultilevel"/>
    <w:tmpl w:val="85B022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3E767A3B"/>
    <w:multiLevelType w:val="hybridMultilevel"/>
    <w:tmpl w:val="E0DE63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3F5F6EA5"/>
    <w:multiLevelType w:val="hybridMultilevel"/>
    <w:tmpl w:val="E848C9FA"/>
    <w:lvl w:ilvl="0" w:tplc="729EACDA">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02E5B56"/>
    <w:multiLevelType w:val="multilevel"/>
    <w:tmpl w:val="D73224E2"/>
    <w:lvl w:ilvl="0">
      <w:start w:val="1"/>
      <w:numFmt w:val="decimal"/>
      <w:lvlText w:val="%1."/>
      <w:lvlJc w:val="left"/>
      <w:pPr>
        <w:ind w:left="1080" w:hanging="360"/>
      </w:pPr>
    </w:lvl>
    <w:lvl w:ilvl="1">
      <w:start w:val="1"/>
      <w:numFmt w:val="decimal"/>
      <w:isLgl/>
      <w:lvlText w:val="%1.%2"/>
      <w:lvlJc w:val="left"/>
      <w:pPr>
        <w:ind w:left="4800" w:hanging="405"/>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1800" w:hanging="108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160" w:hanging="1440"/>
      </w:pPr>
      <w:rPr>
        <w:rFonts w:hint="default"/>
        <w:sz w:val="24"/>
      </w:rPr>
    </w:lvl>
    <w:lvl w:ilvl="8">
      <w:start w:val="1"/>
      <w:numFmt w:val="decimal"/>
      <w:isLgl/>
      <w:lvlText w:val="%1.%2.%3.%4.%5.%6.%7.%8.%9"/>
      <w:lvlJc w:val="left"/>
      <w:pPr>
        <w:ind w:left="2520" w:hanging="1800"/>
      </w:pPr>
      <w:rPr>
        <w:rFonts w:hint="default"/>
        <w:sz w:val="24"/>
      </w:rPr>
    </w:lvl>
  </w:abstractNum>
  <w:abstractNum w:abstractNumId="53" w15:restartNumberingAfterBreak="0">
    <w:nsid w:val="40386434"/>
    <w:multiLevelType w:val="hybridMultilevel"/>
    <w:tmpl w:val="F0E407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443A2ED4"/>
    <w:multiLevelType w:val="hybridMultilevel"/>
    <w:tmpl w:val="51523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54B151E"/>
    <w:multiLevelType w:val="hybridMultilevel"/>
    <w:tmpl w:val="8D3469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7484F68"/>
    <w:multiLevelType w:val="hybridMultilevel"/>
    <w:tmpl w:val="E138CF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487D1975"/>
    <w:multiLevelType w:val="hybridMultilevel"/>
    <w:tmpl w:val="9A02DB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4EFD7AF1"/>
    <w:multiLevelType w:val="hybridMultilevel"/>
    <w:tmpl w:val="97D2C8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4FC2185A"/>
    <w:multiLevelType w:val="hybridMultilevel"/>
    <w:tmpl w:val="B4B2B9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53C31FA7"/>
    <w:multiLevelType w:val="hybridMultilevel"/>
    <w:tmpl w:val="2070A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40E6117"/>
    <w:multiLevelType w:val="hybridMultilevel"/>
    <w:tmpl w:val="05B68F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57F106CB"/>
    <w:multiLevelType w:val="hybridMultilevel"/>
    <w:tmpl w:val="867249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582E33C8"/>
    <w:multiLevelType w:val="hybridMultilevel"/>
    <w:tmpl w:val="5CA241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59554D32"/>
    <w:multiLevelType w:val="hybridMultilevel"/>
    <w:tmpl w:val="8996C1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95B3E1C"/>
    <w:multiLevelType w:val="hybridMultilevel"/>
    <w:tmpl w:val="C99884EE"/>
    <w:lvl w:ilvl="0" w:tplc="29D41074">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703E99B6">
      <w:numFmt w:val="bullet"/>
      <w:lvlText w:val="-"/>
      <w:lvlJc w:val="left"/>
      <w:pPr>
        <w:ind w:left="2340" w:hanging="360"/>
      </w:pPr>
      <w:rPr>
        <w:rFonts w:ascii="Calibri" w:eastAsiaTheme="minorHAnsi" w:hAnsi="Calibri" w:cstheme="minorBidi"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CB72561"/>
    <w:multiLevelType w:val="hybridMultilevel"/>
    <w:tmpl w:val="77D6D5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628E3DCE"/>
    <w:multiLevelType w:val="hybridMultilevel"/>
    <w:tmpl w:val="BAF288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15:restartNumberingAfterBreak="0">
    <w:nsid w:val="62AC23C2"/>
    <w:multiLevelType w:val="hybridMultilevel"/>
    <w:tmpl w:val="1242CB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686540A6"/>
    <w:multiLevelType w:val="hybridMultilevel"/>
    <w:tmpl w:val="E9724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89A3B8C"/>
    <w:multiLevelType w:val="hybridMultilevel"/>
    <w:tmpl w:val="51A240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69146A33"/>
    <w:multiLevelType w:val="hybridMultilevel"/>
    <w:tmpl w:val="06C05D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69C62D0F"/>
    <w:multiLevelType w:val="hybridMultilevel"/>
    <w:tmpl w:val="9586BE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6BCC3333"/>
    <w:multiLevelType w:val="hybridMultilevel"/>
    <w:tmpl w:val="E70AEC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15:restartNumberingAfterBreak="0">
    <w:nsid w:val="6C386E0A"/>
    <w:multiLevelType w:val="hybridMultilevel"/>
    <w:tmpl w:val="BD223BBE"/>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C7A4C83"/>
    <w:multiLevelType w:val="hybridMultilevel"/>
    <w:tmpl w:val="EECEE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D9375A3"/>
    <w:multiLevelType w:val="hybridMultilevel"/>
    <w:tmpl w:val="4FE0A0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6E1F705B"/>
    <w:multiLevelType w:val="hybridMultilevel"/>
    <w:tmpl w:val="359E57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15:restartNumberingAfterBreak="0">
    <w:nsid w:val="6EBD05BB"/>
    <w:multiLevelType w:val="hybridMultilevel"/>
    <w:tmpl w:val="F7F4CC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6F184A4D"/>
    <w:multiLevelType w:val="multilevel"/>
    <w:tmpl w:val="330245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701A69DF"/>
    <w:multiLevelType w:val="hybridMultilevel"/>
    <w:tmpl w:val="6C3A8E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7038732C"/>
    <w:multiLevelType w:val="hybridMultilevel"/>
    <w:tmpl w:val="7C94C9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2784172"/>
    <w:multiLevelType w:val="hybridMultilevel"/>
    <w:tmpl w:val="D50605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73D90C3C"/>
    <w:multiLevelType w:val="hybridMultilevel"/>
    <w:tmpl w:val="3C560E8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4" w15:restartNumberingAfterBreak="0">
    <w:nsid w:val="73DC0219"/>
    <w:multiLevelType w:val="hybridMultilevel"/>
    <w:tmpl w:val="5DCCB6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76817A84"/>
    <w:multiLevelType w:val="hybridMultilevel"/>
    <w:tmpl w:val="D0B689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15:restartNumberingAfterBreak="0">
    <w:nsid w:val="78E12F09"/>
    <w:multiLevelType w:val="hybridMultilevel"/>
    <w:tmpl w:val="6860BD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9E93F36"/>
    <w:multiLevelType w:val="hybridMultilevel"/>
    <w:tmpl w:val="6A7219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7ABD6BF6"/>
    <w:multiLevelType w:val="hybridMultilevel"/>
    <w:tmpl w:val="04523F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AD062B9"/>
    <w:multiLevelType w:val="hybridMultilevel"/>
    <w:tmpl w:val="3724EB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15:restartNumberingAfterBreak="0">
    <w:nsid w:val="7DF03BF5"/>
    <w:multiLevelType w:val="multilevel"/>
    <w:tmpl w:val="EBACC10E"/>
    <w:styleLink w:val="Lista2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91" w15:restartNumberingAfterBreak="0">
    <w:nsid w:val="7F484D50"/>
    <w:multiLevelType w:val="hybridMultilevel"/>
    <w:tmpl w:val="23C461DE"/>
    <w:lvl w:ilvl="0" w:tplc="E3A84CE6">
      <w:start w:val="1"/>
      <w:numFmt w:val="decimal"/>
      <w:pStyle w:val="TablaNo"/>
      <w:lvlText w:val="Tabla No %1."/>
      <w:lvlJc w:val="center"/>
      <w:pPr>
        <w:ind w:left="36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40"/>
  </w:num>
  <w:num w:numId="2">
    <w:abstractNumId w:val="19"/>
  </w:num>
  <w:num w:numId="3">
    <w:abstractNumId w:val="38"/>
  </w:num>
  <w:num w:numId="4">
    <w:abstractNumId w:val="46"/>
  </w:num>
  <w:num w:numId="5">
    <w:abstractNumId w:val="2"/>
  </w:num>
  <w:num w:numId="6">
    <w:abstractNumId w:val="90"/>
  </w:num>
  <w:num w:numId="7">
    <w:abstractNumId w:val="0"/>
  </w:num>
  <w:num w:numId="8">
    <w:abstractNumId w:val="24"/>
  </w:num>
  <w:num w:numId="9">
    <w:abstractNumId w:val="3"/>
  </w:num>
  <w:num w:numId="10">
    <w:abstractNumId w:val="64"/>
  </w:num>
  <w:num w:numId="11">
    <w:abstractNumId w:val="91"/>
  </w:num>
  <w:num w:numId="12">
    <w:abstractNumId w:val="52"/>
  </w:num>
  <w:num w:numId="13">
    <w:abstractNumId w:val="52"/>
    <w:lvlOverride w:ilvl="0">
      <w:startOverride w:val="1"/>
    </w:lvlOverride>
  </w:num>
  <w:num w:numId="14">
    <w:abstractNumId w:val="58"/>
  </w:num>
  <w:num w:numId="15">
    <w:abstractNumId w:val="75"/>
  </w:num>
  <w:num w:numId="16">
    <w:abstractNumId w:val="25"/>
  </w:num>
  <w:num w:numId="17">
    <w:abstractNumId w:val="49"/>
  </w:num>
  <w:num w:numId="18">
    <w:abstractNumId w:val="37"/>
  </w:num>
  <w:num w:numId="19">
    <w:abstractNumId w:val="47"/>
  </w:num>
  <w:num w:numId="20">
    <w:abstractNumId w:val="9"/>
  </w:num>
  <w:num w:numId="21">
    <w:abstractNumId w:val="23"/>
  </w:num>
  <w:num w:numId="22">
    <w:abstractNumId w:val="82"/>
  </w:num>
  <w:num w:numId="23">
    <w:abstractNumId w:val="17"/>
  </w:num>
  <w:num w:numId="24">
    <w:abstractNumId w:val="60"/>
  </w:num>
  <w:num w:numId="25">
    <w:abstractNumId w:val="6"/>
  </w:num>
  <w:num w:numId="26">
    <w:abstractNumId w:val="33"/>
  </w:num>
  <w:num w:numId="27">
    <w:abstractNumId w:val="61"/>
  </w:num>
  <w:num w:numId="28">
    <w:abstractNumId w:val="50"/>
  </w:num>
  <w:num w:numId="29">
    <w:abstractNumId w:val="59"/>
  </w:num>
  <w:num w:numId="30">
    <w:abstractNumId w:val="18"/>
  </w:num>
  <w:num w:numId="31">
    <w:abstractNumId w:val="77"/>
  </w:num>
  <w:num w:numId="32">
    <w:abstractNumId w:val="10"/>
  </w:num>
  <w:num w:numId="33">
    <w:abstractNumId w:val="48"/>
  </w:num>
  <w:num w:numId="34">
    <w:abstractNumId w:val="44"/>
  </w:num>
  <w:num w:numId="35">
    <w:abstractNumId w:val="30"/>
  </w:num>
  <w:num w:numId="36">
    <w:abstractNumId w:val="81"/>
  </w:num>
  <w:num w:numId="37">
    <w:abstractNumId w:val="7"/>
  </w:num>
  <w:num w:numId="38">
    <w:abstractNumId w:val="15"/>
  </w:num>
  <w:num w:numId="39">
    <w:abstractNumId w:val="53"/>
  </w:num>
  <w:num w:numId="40">
    <w:abstractNumId w:val="35"/>
  </w:num>
  <w:num w:numId="41">
    <w:abstractNumId w:val="66"/>
  </w:num>
  <w:num w:numId="42">
    <w:abstractNumId w:val="78"/>
  </w:num>
  <w:num w:numId="43">
    <w:abstractNumId w:val="85"/>
  </w:num>
  <w:num w:numId="44">
    <w:abstractNumId w:val="68"/>
  </w:num>
  <w:num w:numId="45">
    <w:abstractNumId w:val="29"/>
  </w:num>
  <w:num w:numId="46">
    <w:abstractNumId w:val="20"/>
  </w:num>
  <w:num w:numId="47">
    <w:abstractNumId w:val="1"/>
  </w:num>
  <w:num w:numId="48">
    <w:abstractNumId w:val="16"/>
  </w:num>
  <w:num w:numId="49">
    <w:abstractNumId w:val="67"/>
  </w:num>
  <w:num w:numId="50">
    <w:abstractNumId w:val="36"/>
  </w:num>
  <w:num w:numId="51">
    <w:abstractNumId w:val="5"/>
  </w:num>
  <w:num w:numId="52">
    <w:abstractNumId w:val="71"/>
  </w:num>
  <w:num w:numId="53">
    <w:abstractNumId w:val="87"/>
  </w:num>
  <w:num w:numId="54">
    <w:abstractNumId w:val="80"/>
  </w:num>
  <w:num w:numId="55">
    <w:abstractNumId w:val="34"/>
  </w:num>
  <w:num w:numId="56">
    <w:abstractNumId w:val="14"/>
  </w:num>
  <w:num w:numId="57">
    <w:abstractNumId w:val="56"/>
  </w:num>
  <w:num w:numId="58">
    <w:abstractNumId w:val="43"/>
  </w:num>
  <w:num w:numId="59">
    <w:abstractNumId w:val="4"/>
  </w:num>
  <w:num w:numId="60">
    <w:abstractNumId w:val="42"/>
  </w:num>
  <w:num w:numId="61">
    <w:abstractNumId w:val="63"/>
  </w:num>
  <w:num w:numId="62">
    <w:abstractNumId w:val="57"/>
  </w:num>
  <w:num w:numId="63">
    <w:abstractNumId w:val="13"/>
  </w:num>
  <w:num w:numId="64">
    <w:abstractNumId w:val="69"/>
  </w:num>
  <w:num w:numId="65">
    <w:abstractNumId w:val="72"/>
  </w:num>
  <w:num w:numId="66">
    <w:abstractNumId w:val="21"/>
  </w:num>
  <w:num w:numId="67">
    <w:abstractNumId w:val="39"/>
  </w:num>
  <w:num w:numId="68">
    <w:abstractNumId w:val="41"/>
  </w:num>
  <w:num w:numId="69">
    <w:abstractNumId w:val="27"/>
  </w:num>
  <w:num w:numId="70">
    <w:abstractNumId w:val="76"/>
  </w:num>
  <w:num w:numId="71">
    <w:abstractNumId w:val="70"/>
  </w:num>
  <w:num w:numId="72">
    <w:abstractNumId w:val="12"/>
  </w:num>
  <w:num w:numId="73">
    <w:abstractNumId w:val="31"/>
  </w:num>
  <w:num w:numId="74">
    <w:abstractNumId w:val="32"/>
  </w:num>
  <w:num w:numId="75">
    <w:abstractNumId w:val="89"/>
  </w:num>
  <w:num w:numId="76">
    <w:abstractNumId w:val="11"/>
  </w:num>
  <w:num w:numId="77">
    <w:abstractNumId w:val="88"/>
  </w:num>
  <w:num w:numId="78">
    <w:abstractNumId w:val="74"/>
  </w:num>
  <w:num w:numId="79">
    <w:abstractNumId w:val="65"/>
  </w:num>
  <w:num w:numId="80">
    <w:abstractNumId w:val="28"/>
  </w:num>
  <w:num w:numId="81">
    <w:abstractNumId w:val="86"/>
  </w:num>
  <w:num w:numId="82">
    <w:abstractNumId w:val="62"/>
  </w:num>
  <w:num w:numId="83">
    <w:abstractNumId w:val="51"/>
  </w:num>
  <w:num w:numId="84">
    <w:abstractNumId w:val="45"/>
  </w:num>
  <w:num w:numId="85">
    <w:abstractNumId w:val="54"/>
  </w:num>
  <w:num w:numId="86">
    <w:abstractNumId w:val="22"/>
  </w:num>
  <w:num w:numId="87">
    <w:abstractNumId w:val="26"/>
  </w:num>
  <w:num w:numId="88">
    <w:abstractNumId w:val="26"/>
    <w:lvlOverride w:ilvl="0">
      <w:startOverride w:val="1"/>
    </w:lvlOverride>
  </w:num>
  <w:num w:numId="89">
    <w:abstractNumId w:val="83"/>
  </w:num>
  <w:num w:numId="90">
    <w:abstractNumId w:val="79"/>
  </w:num>
  <w:num w:numId="91">
    <w:abstractNumId w:val="55"/>
  </w:num>
  <w:num w:numId="92">
    <w:abstractNumId w:val="8"/>
  </w:num>
  <w:num w:numId="93">
    <w:abstractNumId w:val="84"/>
  </w:num>
  <w:num w:numId="94">
    <w:abstractNumId w:val="7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C42"/>
    <w:rsid w:val="00001AB2"/>
    <w:rsid w:val="0000355E"/>
    <w:rsid w:val="00003747"/>
    <w:rsid w:val="00004217"/>
    <w:rsid w:val="00006404"/>
    <w:rsid w:val="0000772C"/>
    <w:rsid w:val="000106B1"/>
    <w:rsid w:val="0001099A"/>
    <w:rsid w:val="00011593"/>
    <w:rsid w:val="0001162E"/>
    <w:rsid w:val="00011BE4"/>
    <w:rsid w:val="00016E99"/>
    <w:rsid w:val="00017325"/>
    <w:rsid w:val="00017839"/>
    <w:rsid w:val="00021A72"/>
    <w:rsid w:val="00022FE3"/>
    <w:rsid w:val="000231B3"/>
    <w:rsid w:val="0002457A"/>
    <w:rsid w:val="000246E8"/>
    <w:rsid w:val="00024B04"/>
    <w:rsid w:val="000251E5"/>
    <w:rsid w:val="0002533C"/>
    <w:rsid w:val="00025744"/>
    <w:rsid w:val="00026430"/>
    <w:rsid w:val="00026456"/>
    <w:rsid w:val="00026CE5"/>
    <w:rsid w:val="000275AD"/>
    <w:rsid w:val="000275EE"/>
    <w:rsid w:val="00027E88"/>
    <w:rsid w:val="00030F5A"/>
    <w:rsid w:val="00031451"/>
    <w:rsid w:val="00031F6B"/>
    <w:rsid w:val="00032BD4"/>
    <w:rsid w:val="00032F97"/>
    <w:rsid w:val="000336AF"/>
    <w:rsid w:val="000339F0"/>
    <w:rsid w:val="00034839"/>
    <w:rsid w:val="00034BE1"/>
    <w:rsid w:val="00037472"/>
    <w:rsid w:val="00037775"/>
    <w:rsid w:val="00040699"/>
    <w:rsid w:val="000406C3"/>
    <w:rsid w:val="00042066"/>
    <w:rsid w:val="000426AB"/>
    <w:rsid w:val="00042DD0"/>
    <w:rsid w:val="00042F88"/>
    <w:rsid w:val="0004332C"/>
    <w:rsid w:val="0004351A"/>
    <w:rsid w:val="0004419B"/>
    <w:rsid w:val="00044CAF"/>
    <w:rsid w:val="00044EFE"/>
    <w:rsid w:val="0004526B"/>
    <w:rsid w:val="000471FE"/>
    <w:rsid w:val="00047465"/>
    <w:rsid w:val="00047AA3"/>
    <w:rsid w:val="00047F32"/>
    <w:rsid w:val="000501C9"/>
    <w:rsid w:val="00050851"/>
    <w:rsid w:val="00050905"/>
    <w:rsid w:val="00051B4B"/>
    <w:rsid w:val="00051F70"/>
    <w:rsid w:val="000522E1"/>
    <w:rsid w:val="000529F1"/>
    <w:rsid w:val="00052C84"/>
    <w:rsid w:val="000539BF"/>
    <w:rsid w:val="000539C5"/>
    <w:rsid w:val="00055BB2"/>
    <w:rsid w:val="00055C77"/>
    <w:rsid w:val="00056BF8"/>
    <w:rsid w:val="0006005C"/>
    <w:rsid w:val="00060F87"/>
    <w:rsid w:val="00061380"/>
    <w:rsid w:val="00061681"/>
    <w:rsid w:val="000621A6"/>
    <w:rsid w:val="00062E29"/>
    <w:rsid w:val="00063D7A"/>
    <w:rsid w:val="00063DCC"/>
    <w:rsid w:val="00063FAC"/>
    <w:rsid w:val="00064AFE"/>
    <w:rsid w:val="00066FAF"/>
    <w:rsid w:val="00067F2A"/>
    <w:rsid w:val="00071638"/>
    <w:rsid w:val="00071F29"/>
    <w:rsid w:val="00072485"/>
    <w:rsid w:val="000724FB"/>
    <w:rsid w:val="00072719"/>
    <w:rsid w:val="000736C5"/>
    <w:rsid w:val="00073972"/>
    <w:rsid w:val="000748B8"/>
    <w:rsid w:val="0007514B"/>
    <w:rsid w:val="0007533C"/>
    <w:rsid w:val="00075969"/>
    <w:rsid w:val="0007599E"/>
    <w:rsid w:val="00076E2C"/>
    <w:rsid w:val="00076E3D"/>
    <w:rsid w:val="00077015"/>
    <w:rsid w:val="00077017"/>
    <w:rsid w:val="000770E0"/>
    <w:rsid w:val="00077B4D"/>
    <w:rsid w:val="0008034A"/>
    <w:rsid w:val="00080CDF"/>
    <w:rsid w:val="00081109"/>
    <w:rsid w:val="0008149E"/>
    <w:rsid w:val="00081CA7"/>
    <w:rsid w:val="00081D67"/>
    <w:rsid w:val="00082F51"/>
    <w:rsid w:val="00083DFB"/>
    <w:rsid w:val="00083E7F"/>
    <w:rsid w:val="00084014"/>
    <w:rsid w:val="00084452"/>
    <w:rsid w:val="0008500F"/>
    <w:rsid w:val="000850B9"/>
    <w:rsid w:val="000854F7"/>
    <w:rsid w:val="00085D0C"/>
    <w:rsid w:val="0008674E"/>
    <w:rsid w:val="00086E1B"/>
    <w:rsid w:val="00087C78"/>
    <w:rsid w:val="000914FA"/>
    <w:rsid w:val="00091E08"/>
    <w:rsid w:val="000932A4"/>
    <w:rsid w:val="0009337D"/>
    <w:rsid w:val="0009339F"/>
    <w:rsid w:val="000934BF"/>
    <w:rsid w:val="00094303"/>
    <w:rsid w:val="000946BA"/>
    <w:rsid w:val="000951BD"/>
    <w:rsid w:val="000953D8"/>
    <w:rsid w:val="00095425"/>
    <w:rsid w:val="00097BAD"/>
    <w:rsid w:val="00097E9A"/>
    <w:rsid w:val="000A0194"/>
    <w:rsid w:val="000A1702"/>
    <w:rsid w:val="000A327C"/>
    <w:rsid w:val="000A406B"/>
    <w:rsid w:val="000A4159"/>
    <w:rsid w:val="000A556B"/>
    <w:rsid w:val="000A558C"/>
    <w:rsid w:val="000A57DC"/>
    <w:rsid w:val="000A591E"/>
    <w:rsid w:val="000A5976"/>
    <w:rsid w:val="000A6127"/>
    <w:rsid w:val="000A6E55"/>
    <w:rsid w:val="000B0A35"/>
    <w:rsid w:val="000B1109"/>
    <w:rsid w:val="000B2002"/>
    <w:rsid w:val="000B20E6"/>
    <w:rsid w:val="000B3337"/>
    <w:rsid w:val="000B39E0"/>
    <w:rsid w:val="000B3E94"/>
    <w:rsid w:val="000B5AD9"/>
    <w:rsid w:val="000C1020"/>
    <w:rsid w:val="000C24B3"/>
    <w:rsid w:val="000C298D"/>
    <w:rsid w:val="000C30CC"/>
    <w:rsid w:val="000C3469"/>
    <w:rsid w:val="000C3CD8"/>
    <w:rsid w:val="000C61AF"/>
    <w:rsid w:val="000C6B55"/>
    <w:rsid w:val="000D081E"/>
    <w:rsid w:val="000D16ED"/>
    <w:rsid w:val="000D1CCC"/>
    <w:rsid w:val="000D3359"/>
    <w:rsid w:val="000D3E27"/>
    <w:rsid w:val="000D4111"/>
    <w:rsid w:val="000D4324"/>
    <w:rsid w:val="000D46F9"/>
    <w:rsid w:val="000D47E2"/>
    <w:rsid w:val="000D4E6E"/>
    <w:rsid w:val="000D5A02"/>
    <w:rsid w:val="000D69E9"/>
    <w:rsid w:val="000D6B45"/>
    <w:rsid w:val="000D74D2"/>
    <w:rsid w:val="000E0171"/>
    <w:rsid w:val="000E0BC8"/>
    <w:rsid w:val="000E2DBE"/>
    <w:rsid w:val="000E2F59"/>
    <w:rsid w:val="000E3C16"/>
    <w:rsid w:val="000E459E"/>
    <w:rsid w:val="000E47B0"/>
    <w:rsid w:val="000E502B"/>
    <w:rsid w:val="000E519D"/>
    <w:rsid w:val="000E5767"/>
    <w:rsid w:val="000E5EB9"/>
    <w:rsid w:val="000F0F51"/>
    <w:rsid w:val="000F11C4"/>
    <w:rsid w:val="000F126E"/>
    <w:rsid w:val="000F2B1E"/>
    <w:rsid w:val="000F2C75"/>
    <w:rsid w:val="000F2DB2"/>
    <w:rsid w:val="000F4305"/>
    <w:rsid w:val="000F4BA8"/>
    <w:rsid w:val="000F5C47"/>
    <w:rsid w:val="000F6290"/>
    <w:rsid w:val="000F6697"/>
    <w:rsid w:val="000F7E34"/>
    <w:rsid w:val="001000E7"/>
    <w:rsid w:val="001007A6"/>
    <w:rsid w:val="00100CA8"/>
    <w:rsid w:val="001018A3"/>
    <w:rsid w:val="00102842"/>
    <w:rsid w:val="00102871"/>
    <w:rsid w:val="001034D5"/>
    <w:rsid w:val="001039C5"/>
    <w:rsid w:val="00103FE6"/>
    <w:rsid w:val="001042FC"/>
    <w:rsid w:val="00104366"/>
    <w:rsid w:val="001058E1"/>
    <w:rsid w:val="0010670C"/>
    <w:rsid w:val="00106C1A"/>
    <w:rsid w:val="00106D50"/>
    <w:rsid w:val="00107AC3"/>
    <w:rsid w:val="00111BD6"/>
    <w:rsid w:val="00111F12"/>
    <w:rsid w:val="00111F38"/>
    <w:rsid w:val="00112250"/>
    <w:rsid w:val="0011317E"/>
    <w:rsid w:val="0011460C"/>
    <w:rsid w:val="00114651"/>
    <w:rsid w:val="00114E45"/>
    <w:rsid w:val="00115DB3"/>
    <w:rsid w:val="00116080"/>
    <w:rsid w:val="0011608E"/>
    <w:rsid w:val="001165EA"/>
    <w:rsid w:val="00116613"/>
    <w:rsid w:val="00116681"/>
    <w:rsid w:val="001168EB"/>
    <w:rsid w:val="001175C7"/>
    <w:rsid w:val="001179A3"/>
    <w:rsid w:val="001179FA"/>
    <w:rsid w:val="0012026F"/>
    <w:rsid w:val="00120336"/>
    <w:rsid w:val="0012119E"/>
    <w:rsid w:val="0012184D"/>
    <w:rsid w:val="00121D0A"/>
    <w:rsid w:val="001227E0"/>
    <w:rsid w:val="0012483C"/>
    <w:rsid w:val="00124BEF"/>
    <w:rsid w:val="001262E9"/>
    <w:rsid w:val="00126D1E"/>
    <w:rsid w:val="00126D58"/>
    <w:rsid w:val="0012708C"/>
    <w:rsid w:val="00127A37"/>
    <w:rsid w:val="00130C68"/>
    <w:rsid w:val="00130E2A"/>
    <w:rsid w:val="0013144B"/>
    <w:rsid w:val="00133022"/>
    <w:rsid w:val="001340FB"/>
    <w:rsid w:val="001355CC"/>
    <w:rsid w:val="00135DCD"/>
    <w:rsid w:val="00136C51"/>
    <w:rsid w:val="00137205"/>
    <w:rsid w:val="0013768F"/>
    <w:rsid w:val="001378F3"/>
    <w:rsid w:val="00137B39"/>
    <w:rsid w:val="001403D2"/>
    <w:rsid w:val="00141FA9"/>
    <w:rsid w:val="0014275D"/>
    <w:rsid w:val="0014309A"/>
    <w:rsid w:val="001430E9"/>
    <w:rsid w:val="00143FF8"/>
    <w:rsid w:val="001446DE"/>
    <w:rsid w:val="0014472B"/>
    <w:rsid w:val="00144C66"/>
    <w:rsid w:val="001464D0"/>
    <w:rsid w:val="00146B66"/>
    <w:rsid w:val="00147CBA"/>
    <w:rsid w:val="00147DA5"/>
    <w:rsid w:val="001501A6"/>
    <w:rsid w:val="00150517"/>
    <w:rsid w:val="00150EAF"/>
    <w:rsid w:val="00151F3B"/>
    <w:rsid w:val="00153AAD"/>
    <w:rsid w:val="00154048"/>
    <w:rsid w:val="001550C3"/>
    <w:rsid w:val="00155996"/>
    <w:rsid w:val="00156B5F"/>
    <w:rsid w:val="00156CB5"/>
    <w:rsid w:val="00156DC4"/>
    <w:rsid w:val="00157652"/>
    <w:rsid w:val="00157B76"/>
    <w:rsid w:val="001607D7"/>
    <w:rsid w:val="00160FD8"/>
    <w:rsid w:val="00161308"/>
    <w:rsid w:val="00161B2D"/>
    <w:rsid w:val="00162C45"/>
    <w:rsid w:val="00162E4E"/>
    <w:rsid w:val="0016336C"/>
    <w:rsid w:val="00165033"/>
    <w:rsid w:val="0016573A"/>
    <w:rsid w:val="001662A0"/>
    <w:rsid w:val="00166AE2"/>
    <w:rsid w:val="00167DAE"/>
    <w:rsid w:val="00170699"/>
    <w:rsid w:val="00170C5D"/>
    <w:rsid w:val="00172B53"/>
    <w:rsid w:val="00173554"/>
    <w:rsid w:val="00173760"/>
    <w:rsid w:val="0017435E"/>
    <w:rsid w:val="001755F8"/>
    <w:rsid w:val="00175D3A"/>
    <w:rsid w:val="00175F2D"/>
    <w:rsid w:val="00176AFA"/>
    <w:rsid w:val="00176E73"/>
    <w:rsid w:val="00177104"/>
    <w:rsid w:val="00177124"/>
    <w:rsid w:val="001776BD"/>
    <w:rsid w:val="00177F3E"/>
    <w:rsid w:val="0018035E"/>
    <w:rsid w:val="001812C7"/>
    <w:rsid w:val="00181D14"/>
    <w:rsid w:val="00181DBC"/>
    <w:rsid w:val="001829F2"/>
    <w:rsid w:val="001835DE"/>
    <w:rsid w:val="001838CF"/>
    <w:rsid w:val="00184019"/>
    <w:rsid w:val="0018458D"/>
    <w:rsid w:val="0018476E"/>
    <w:rsid w:val="0018529C"/>
    <w:rsid w:val="001853FC"/>
    <w:rsid w:val="001878D9"/>
    <w:rsid w:val="00187B65"/>
    <w:rsid w:val="0019222D"/>
    <w:rsid w:val="0019253B"/>
    <w:rsid w:val="0019271E"/>
    <w:rsid w:val="001931BB"/>
    <w:rsid w:val="00194F95"/>
    <w:rsid w:val="0019549E"/>
    <w:rsid w:val="00195958"/>
    <w:rsid w:val="00195B98"/>
    <w:rsid w:val="00196DA6"/>
    <w:rsid w:val="00196DF2"/>
    <w:rsid w:val="00197530"/>
    <w:rsid w:val="00197899"/>
    <w:rsid w:val="00197DF4"/>
    <w:rsid w:val="001A0DA4"/>
    <w:rsid w:val="001A12D9"/>
    <w:rsid w:val="001A23C2"/>
    <w:rsid w:val="001A32E1"/>
    <w:rsid w:val="001A39FC"/>
    <w:rsid w:val="001A639F"/>
    <w:rsid w:val="001A69CE"/>
    <w:rsid w:val="001A7CEE"/>
    <w:rsid w:val="001B08CC"/>
    <w:rsid w:val="001B409C"/>
    <w:rsid w:val="001B419A"/>
    <w:rsid w:val="001B52F9"/>
    <w:rsid w:val="001B6C86"/>
    <w:rsid w:val="001B7351"/>
    <w:rsid w:val="001B761F"/>
    <w:rsid w:val="001B7E03"/>
    <w:rsid w:val="001C0D9B"/>
    <w:rsid w:val="001C24BA"/>
    <w:rsid w:val="001C25BC"/>
    <w:rsid w:val="001C2870"/>
    <w:rsid w:val="001C28C3"/>
    <w:rsid w:val="001C29A1"/>
    <w:rsid w:val="001C2DF8"/>
    <w:rsid w:val="001C3059"/>
    <w:rsid w:val="001C30E1"/>
    <w:rsid w:val="001C395D"/>
    <w:rsid w:val="001C3A6D"/>
    <w:rsid w:val="001C4EA8"/>
    <w:rsid w:val="001C5122"/>
    <w:rsid w:val="001C575C"/>
    <w:rsid w:val="001C60C7"/>
    <w:rsid w:val="001C6B65"/>
    <w:rsid w:val="001C7E2C"/>
    <w:rsid w:val="001D0448"/>
    <w:rsid w:val="001D0694"/>
    <w:rsid w:val="001D0A4C"/>
    <w:rsid w:val="001D0E73"/>
    <w:rsid w:val="001D3EFC"/>
    <w:rsid w:val="001D3FD8"/>
    <w:rsid w:val="001D48B7"/>
    <w:rsid w:val="001D5618"/>
    <w:rsid w:val="001D620B"/>
    <w:rsid w:val="001E0015"/>
    <w:rsid w:val="001E0C55"/>
    <w:rsid w:val="001E19A9"/>
    <w:rsid w:val="001E1AD8"/>
    <w:rsid w:val="001E3BBB"/>
    <w:rsid w:val="001E40F1"/>
    <w:rsid w:val="001E645D"/>
    <w:rsid w:val="001E6952"/>
    <w:rsid w:val="001F0356"/>
    <w:rsid w:val="001F0678"/>
    <w:rsid w:val="001F089D"/>
    <w:rsid w:val="001F09D8"/>
    <w:rsid w:val="001F0B40"/>
    <w:rsid w:val="001F1A91"/>
    <w:rsid w:val="001F1C6C"/>
    <w:rsid w:val="001F3D66"/>
    <w:rsid w:val="001F5CD6"/>
    <w:rsid w:val="001F6884"/>
    <w:rsid w:val="001F7032"/>
    <w:rsid w:val="001F70D0"/>
    <w:rsid w:val="001F7179"/>
    <w:rsid w:val="001F72E9"/>
    <w:rsid w:val="001F7372"/>
    <w:rsid w:val="001F79F6"/>
    <w:rsid w:val="001F7AD9"/>
    <w:rsid w:val="002014ED"/>
    <w:rsid w:val="0020181B"/>
    <w:rsid w:val="0020184F"/>
    <w:rsid w:val="0020434A"/>
    <w:rsid w:val="00205921"/>
    <w:rsid w:val="00205AF5"/>
    <w:rsid w:val="0020648F"/>
    <w:rsid w:val="0020656B"/>
    <w:rsid w:val="002067FA"/>
    <w:rsid w:val="002069FA"/>
    <w:rsid w:val="00206E9F"/>
    <w:rsid w:val="00210FA4"/>
    <w:rsid w:val="0021194C"/>
    <w:rsid w:val="00212587"/>
    <w:rsid w:val="002138DC"/>
    <w:rsid w:val="00213945"/>
    <w:rsid w:val="00213BEF"/>
    <w:rsid w:val="00213F1B"/>
    <w:rsid w:val="00214CAE"/>
    <w:rsid w:val="0021512D"/>
    <w:rsid w:val="002154EF"/>
    <w:rsid w:val="00215B78"/>
    <w:rsid w:val="00216D19"/>
    <w:rsid w:val="00216E26"/>
    <w:rsid w:val="00217869"/>
    <w:rsid w:val="002178D6"/>
    <w:rsid w:val="002179DD"/>
    <w:rsid w:val="002210F8"/>
    <w:rsid w:val="002214F9"/>
    <w:rsid w:val="00222DF4"/>
    <w:rsid w:val="00222F67"/>
    <w:rsid w:val="0022334E"/>
    <w:rsid w:val="002233FC"/>
    <w:rsid w:val="00223836"/>
    <w:rsid w:val="00223B66"/>
    <w:rsid w:val="00224972"/>
    <w:rsid w:val="002255AB"/>
    <w:rsid w:val="00226421"/>
    <w:rsid w:val="00226636"/>
    <w:rsid w:val="00226840"/>
    <w:rsid w:val="00226DA3"/>
    <w:rsid w:val="00226DE5"/>
    <w:rsid w:val="00227AC6"/>
    <w:rsid w:val="00231124"/>
    <w:rsid w:val="00233509"/>
    <w:rsid w:val="002338D6"/>
    <w:rsid w:val="00233D0F"/>
    <w:rsid w:val="00234751"/>
    <w:rsid w:val="00234A2D"/>
    <w:rsid w:val="00234CA7"/>
    <w:rsid w:val="002367B4"/>
    <w:rsid w:val="0023690B"/>
    <w:rsid w:val="0023756D"/>
    <w:rsid w:val="002400BE"/>
    <w:rsid w:val="0024217D"/>
    <w:rsid w:val="0024246D"/>
    <w:rsid w:val="00242983"/>
    <w:rsid w:val="002431D8"/>
    <w:rsid w:val="00244A25"/>
    <w:rsid w:val="0024544B"/>
    <w:rsid w:val="0024657B"/>
    <w:rsid w:val="0024704A"/>
    <w:rsid w:val="002471B3"/>
    <w:rsid w:val="00247289"/>
    <w:rsid w:val="0025086B"/>
    <w:rsid w:val="002539B5"/>
    <w:rsid w:val="00254155"/>
    <w:rsid w:val="00254F75"/>
    <w:rsid w:val="002566C8"/>
    <w:rsid w:val="0025686D"/>
    <w:rsid w:val="00256A1D"/>
    <w:rsid w:val="00256CC4"/>
    <w:rsid w:val="002573AB"/>
    <w:rsid w:val="002575D3"/>
    <w:rsid w:val="00257E63"/>
    <w:rsid w:val="002605B2"/>
    <w:rsid w:val="00260728"/>
    <w:rsid w:val="00260CA2"/>
    <w:rsid w:val="0026189C"/>
    <w:rsid w:val="00262B80"/>
    <w:rsid w:val="00262F0D"/>
    <w:rsid w:val="00264942"/>
    <w:rsid w:val="002669A8"/>
    <w:rsid w:val="00267152"/>
    <w:rsid w:val="0026730F"/>
    <w:rsid w:val="0027021D"/>
    <w:rsid w:val="00270403"/>
    <w:rsid w:val="00270549"/>
    <w:rsid w:val="00270D3F"/>
    <w:rsid w:val="00270E71"/>
    <w:rsid w:val="00271AF4"/>
    <w:rsid w:val="00271C19"/>
    <w:rsid w:val="002724FD"/>
    <w:rsid w:val="00272D32"/>
    <w:rsid w:val="002730C9"/>
    <w:rsid w:val="0027330D"/>
    <w:rsid w:val="0027356C"/>
    <w:rsid w:val="00274B1E"/>
    <w:rsid w:val="00274CFA"/>
    <w:rsid w:val="00274E5B"/>
    <w:rsid w:val="00274FF5"/>
    <w:rsid w:val="00277494"/>
    <w:rsid w:val="002777E9"/>
    <w:rsid w:val="00277C78"/>
    <w:rsid w:val="002800E7"/>
    <w:rsid w:val="002800FC"/>
    <w:rsid w:val="00280E7E"/>
    <w:rsid w:val="00281E3D"/>
    <w:rsid w:val="0028244A"/>
    <w:rsid w:val="002827B3"/>
    <w:rsid w:val="00283218"/>
    <w:rsid w:val="002836FE"/>
    <w:rsid w:val="002839CE"/>
    <w:rsid w:val="002839D6"/>
    <w:rsid w:val="002841CD"/>
    <w:rsid w:val="0028482B"/>
    <w:rsid w:val="00284D65"/>
    <w:rsid w:val="0028674D"/>
    <w:rsid w:val="00286C5D"/>
    <w:rsid w:val="00286E95"/>
    <w:rsid w:val="00287098"/>
    <w:rsid w:val="002878DB"/>
    <w:rsid w:val="00290FBB"/>
    <w:rsid w:val="00290FF4"/>
    <w:rsid w:val="0029340F"/>
    <w:rsid w:val="002934E8"/>
    <w:rsid w:val="002937FE"/>
    <w:rsid w:val="00294976"/>
    <w:rsid w:val="00295786"/>
    <w:rsid w:val="002957C2"/>
    <w:rsid w:val="0029608E"/>
    <w:rsid w:val="0029628C"/>
    <w:rsid w:val="002964C5"/>
    <w:rsid w:val="00296940"/>
    <w:rsid w:val="002A02CD"/>
    <w:rsid w:val="002A066A"/>
    <w:rsid w:val="002A17C5"/>
    <w:rsid w:val="002A1930"/>
    <w:rsid w:val="002A1BC2"/>
    <w:rsid w:val="002A1D24"/>
    <w:rsid w:val="002A209D"/>
    <w:rsid w:val="002A21C9"/>
    <w:rsid w:val="002A3148"/>
    <w:rsid w:val="002A75E9"/>
    <w:rsid w:val="002B02F7"/>
    <w:rsid w:val="002B0C35"/>
    <w:rsid w:val="002B1918"/>
    <w:rsid w:val="002B2509"/>
    <w:rsid w:val="002B3AFE"/>
    <w:rsid w:val="002B3D87"/>
    <w:rsid w:val="002B452D"/>
    <w:rsid w:val="002B45FF"/>
    <w:rsid w:val="002B5C4E"/>
    <w:rsid w:val="002B6974"/>
    <w:rsid w:val="002B6DB0"/>
    <w:rsid w:val="002B7B91"/>
    <w:rsid w:val="002C0C76"/>
    <w:rsid w:val="002C2CD2"/>
    <w:rsid w:val="002C367E"/>
    <w:rsid w:val="002C4390"/>
    <w:rsid w:val="002C43E9"/>
    <w:rsid w:val="002C4496"/>
    <w:rsid w:val="002C49DE"/>
    <w:rsid w:val="002C5CAA"/>
    <w:rsid w:val="002C5F4D"/>
    <w:rsid w:val="002C61AF"/>
    <w:rsid w:val="002C63A0"/>
    <w:rsid w:val="002C706A"/>
    <w:rsid w:val="002C7782"/>
    <w:rsid w:val="002C7BC9"/>
    <w:rsid w:val="002C7D7F"/>
    <w:rsid w:val="002D16C7"/>
    <w:rsid w:val="002D1FAD"/>
    <w:rsid w:val="002D27BE"/>
    <w:rsid w:val="002D282C"/>
    <w:rsid w:val="002D3703"/>
    <w:rsid w:val="002D426C"/>
    <w:rsid w:val="002D4F47"/>
    <w:rsid w:val="002D5651"/>
    <w:rsid w:val="002D5666"/>
    <w:rsid w:val="002D5D07"/>
    <w:rsid w:val="002D5D6F"/>
    <w:rsid w:val="002D6B2B"/>
    <w:rsid w:val="002D7D7A"/>
    <w:rsid w:val="002E1C7C"/>
    <w:rsid w:val="002E3558"/>
    <w:rsid w:val="002E41C5"/>
    <w:rsid w:val="002E435E"/>
    <w:rsid w:val="002E50E9"/>
    <w:rsid w:val="002E517D"/>
    <w:rsid w:val="002E51D4"/>
    <w:rsid w:val="002E68B3"/>
    <w:rsid w:val="002E69EA"/>
    <w:rsid w:val="002E6D66"/>
    <w:rsid w:val="002E7213"/>
    <w:rsid w:val="002F0492"/>
    <w:rsid w:val="002F07A0"/>
    <w:rsid w:val="002F12C4"/>
    <w:rsid w:val="002F174A"/>
    <w:rsid w:val="002F2080"/>
    <w:rsid w:val="002F25BC"/>
    <w:rsid w:val="002F4B43"/>
    <w:rsid w:val="002F4C2C"/>
    <w:rsid w:val="002F65F4"/>
    <w:rsid w:val="002F6F82"/>
    <w:rsid w:val="002F7684"/>
    <w:rsid w:val="002F7D92"/>
    <w:rsid w:val="00300D5D"/>
    <w:rsid w:val="0030209E"/>
    <w:rsid w:val="003025F9"/>
    <w:rsid w:val="00302A8C"/>
    <w:rsid w:val="00302FC5"/>
    <w:rsid w:val="00303980"/>
    <w:rsid w:val="00304DE3"/>
    <w:rsid w:val="00305AA0"/>
    <w:rsid w:val="00306CBD"/>
    <w:rsid w:val="00306FD5"/>
    <w:rsid w:val="00307421"/>
    <w:rsid w:val="00310205"/>
    <w:rsid w:val="00310376"/>
    <w:rsid w:val="003103A1"/>
    <w:rsid w:val="003106DB"/>
    <w:rsid w:val="00310B5E"/>
    <w:rsid w:val="00311371"/>
    <w:rsid w:val="00311419"/>
    <w:rsid w:val="003118A8"/>
    <w:rsid w:val="00311D8F"/>
    <w:rsid w:val="003126BF"/>
    <w:rsid w:val="003128CD"/>
    <w:rsid w:val="00314174"/>
    <w:rsid w:val="003142EC"/>
    <w:rsid w:val="003150B6"/>
    <w:rsid w:val="00316954"/>
    <w:rsid w:val="003177B9"/>
    <w:rsid w:val="00317A3D"/>
    <w:rsid w:val="003218B8"/>
    <w:rsid w:val="00322D44"/>
    <w:rsid w:val="00322D7D"/>
    <w:rsid w:val="00322EFD"/>
    <w:rsid w:val="003235E4"/>
    <w:rsid w:val="003250AD"/>
    <w:rsid w:val="003255E5"/>
    <w:rsid w:val="0032584B"/>
    <w:rsid w:val="00325B73"/>
    <w:rsid w:val="003260CE"/>
    <w:rsid w:val="003263E8"/>
    <w:rsid w:val="00326885"/>
    <w:rsid w:val="00326AF1"/>
    <w:rsid w:val="00327127"/>
    <w:rsid w:val="00327B7D"/>
    <w:rsid w:val="00330E2C"/>
    <w:rsid w:val="0033162B"/>
    <w:rsid w:val="00332035"/>
    <w:rsid w:val="003327C3"/>
    <w:rsid w:val="00332EE3"/>
    <w:rsid w:val="0033315D"/>
    <w:rsid w:val="003334FD"/>
    <w:rsid w:val="00333CB5"/>
    <w:rsid w:val="00334446"/>
    <w:rsid w:val="00334A30"/>
    <w:rsid w:val="00335EF8"/>
    <w:rsid w:val="0033649F"/>
    <w:rsid w:val="00342EA8"/>
    <w:rsid w:val="0034336E"/>
    <w:rsid w:val="00343926"/>
    <w:rsid w:val="003439BE"/>
    <w:rsid w:val="00344054"/>
    <w:rsid w:val="00344760"/>
    <w:rsid w:val="00344B24"/>
    <w:rsid w:val="00345581"/>
    <w:rsid w:val="003458B2"/>
    <w:rsid w:val="003458B3"/>
    <w:rsid w:val="0034630F"/>
    <w:rsid w:val="0034647D"/>
    <w:rsid w:val="00346C78"/>
    <w:rsid w:val="00346E5B"/>
    <w:rsid w:val="00347347"/>
    <w:rsid w:val="00347B6B"/>
    <w:rsid w:val="0035031F"/>
    <w:rsid w:val="00351226"/>
    <w:rsid w:val="0035138A"/>
    <w:rsid w:val="00351D91"/>
    <w:rsid w:val="00351F30"/>
    <w:rsid w:val="0035234A"/>
    <w:rsid w:val="0035351B"/>
    <w:rsid w:val="00353DE0"/>
    <w:rsid w:val="00354594"/>
    <w:rsid w:val="00354F72"/>
    <w:rsid w:val="003553A6"/>
    <w:rsid w:val="0035556E"/>
    <w:rsid w:val="003560BA"/>
    <w:rsid w:val="00357002"/>
    <w:rsid w:val="00357011"/>
    <w:rsid w:val="00357122"/>
    <w:rsid w:val="003579BD"/>
    <w:rsid w:val="00357A02"/>
    <w:rsid w:val="00360E96"/>
    <w:rsid w:val="00360EE3"/>
    <w:rsid w:val="00361A35"/>
    <w:rsid w:val="0036214B"/>
    <w:rsid w:val="0036218F"/>
    <w:rsid w:val="00362907"/>
    <w:rsid w:val="00363834"/>
    <w:rsid w:val="00363894"/>
    <w:rsid w:val="00364E52"/>
    <w:rsid w:val="00364FA4"/>
    <w:rsid w:val="00365545"/>
    <w:rsid w:val="00365B0E"/>
    <w:rsid w:val="003668D0"/>
    <w:rsid w:val="00366BF0"/>
    <w:rsid w:val="00366C55"/>
    <w:rsid w:val="00367FE3"/>
    <w:rsid w:val="00370999"/>
    <w:rsid w:val="00370CAC"/>
    <w:rsid w:val="0037101F"/>
    <w:rsid w:val="00371153"/>
    <w:rsid w:val="00371447"/>
    <w:rsid w:val="00371E9D"/>
    <w:rsid w:val="003740AC"/>
    <w:rsid w:val="00374598"/>
    <w:rsid w:val="0037547A"/>
    <w:rsid w:val="00375B14"/>
    <w:rsid w:val="00375BF2"/>
    <w:rsid w:val="003768F1"/>
    <w:rsid w:val="0037703F"/>
    <w:rsid w:val="0037754A"/>
    <w:rsid w:val="003778B2"/>
    <w:rsid w:val="00377ABA"/>
    <w:rsid w:val="00377C12"/>
    <w:rsid w:val="00377EF6"/>
    <w:rsid w:val="0038146B"/>
    <w:rsid w:val="0038379A"/>
    <w:rsid w:val="003837FE"/>
    <w:rsid w:val="003840D1"/>
    <w:rsid w:val="0038489A"/>
    <w:rsid w:val="003849BF"/>
    <w:rsid w:val="0038501D"/>
    <w:rsid w:val="00385E22"/>
    <w:rsid w:val="00385E67"/>
    <w:rsid w:val="00385E69"/>
    <w:rsid w:val="0038728F"/>
    <w:rsid w:val="00387720"/>
    <w:rsid w:val="00387BA1"/>
    <w:rsid w:val="00387D2E"/>
    <w:rsid w:val="00390E26"/>
    <w:rsid w:val="003917C5"/>
    <w:rsid w:val="003938D2"/>
    <w:rsid w:val="00393BB9"/>
    <w:rsid w:val="003945BB"/>
    <w:rsid w:val="0039536C"/>
    <w:rsid w:val="00395B75"/>
    <w:rsid w:val="00395E19"/>
    <w:rsid w:val="003A0158"/>
    <w:rsid w:val="003A0474"/>
    <w:rsid w:val="003A0F03"/>
    <w:rsid w:val="003A11F0"/>
    <w:rsid w:val="003A144F"/>
    <w:rsid w:val="003A1F44"/>
    <w:rsid w:val="003A282A"/>
    <w:rsid w:val="003A3209"/>
    <w:rsid w:val="003A358A"/>
    <w:rsid w:val="003A3BFE"/>
    <w:rsid w:val="003A4D8F"/>
    <w:rsid w:val="003A4E1C"/>
    <w:rsid w:val="003A55FE"/>
    <w:rsid w:val="003A578C"/>
    <w:rsid w:val="003A5F28"/>
    <w:rsid w:val="003A6DAD"/>
    <w:rsid w:val="003B0214"/>
    <w:rsid w:val="003B0F97"/>
    <w:rsid w:val="003B1875"/>
    <w:rsid w:val="003B1A27"/>
    <w:rsid w:val="003B23CC"/>
    <w:rsid w:val="003B2578"/>
    <w:rsid w:val="003B361B"/>
    <w:rsid w:val="003B3814"/>
    <w:rsid w:val="003B422E"/>
    <w:rsid w:val="003B4586"/>
    <w:rsid w:val="003B46A1"/>
    <w:rsid w:val="003B46F6"/>
    <w:rsid w:val="003B55A8"/>
    <w:rsid w:val="003B5B07"/>
    <w:rsid w:val="003B5C91"/>
    <w:rsid w:val="003B5F80"/>
    <w:rsid w:val="003B6636"/>
    <w:rsid w:val="003B76CC"/>
    <w:rsid w:val="003B7D89"/>
    <w:rsid w:val="003C04AD"/>
    <w:rsid w:val="003C04DA"/>
    <w:rsid w:val="003C1111"/>
    <w:rsid w:val="003C11B9"/>
    <w:rsid w:val="003C2366"/>
    <w:rsid w:val="003C2793"/>
    <w:rsid w:val="003C2CE1"/>
    <w:rsid w:val="003C35EC"/>
    <w:rsid w:val="003C3962"/>
    <w:rsid w:val="003C4175"/>
    <w:rsid w:val="003C4896"/>
    <w:rsid w:val="003C4AFA"/>
    <w:rsid w:val="003C4E6C"/>
    <w:rsid w:val="003C736E"/>
    <w:rsid w:val="003C758D"/>
    <w:rsid w:val="003D0353"/>
    <w:rsid w:val="003D0C36"/>
    <w:rsid w:val="003D108A"/>
    <w:rsid w:val="003D13C6"/>
    <w:rsid w:val="003D1B27"/>
    <w:rsid w:val="003D1D47"/>
    <w:rsid w:val="003D21B7"/>
    <w:rsid w:val="003D2287"/>
    <w:rsid w:val="003D2A65"/>
    <w:rsid w:val="003D2AD5"/>
    <w:rsid w:val="003D2C42"/>
    <w:rsid w:val="003D2D26"/>
    <w:rsid w:val="003D2D82"/>
    <w:rsid w:val="003D401E"/>
    <w:rsid w:val="003D422B"/>
    <w:rsid w:val="003D42F1"/>
    <w:rsid w:val="003D44B7"/>
    <w:rsid w:val="003D4728"/>
    <w:rsid w:val="003D65B7"/>
    <w:rsid w:val="003D73D8"/>
    <w:rsid w:val="003D75BA"/>
    <w:rsid w:val="003E006E"/>
    <w:rsid w:val="003E0E1E"/>
    <w:rsid w:val="003E1854"/>
    <w:rsid w:val="003E1DE4"/>
    <w:rsid w:val="003E4501"/>
    <w:rsid w:val="003E493F"/>
    <w:rsid w:val="003E4A03"/>
    <w:rsid w:val="003E4E68"/>
    <w:rsid w:val="003E625F"/>
    <w:rsid w:val="003E6FBC"/>
    <w:rsid w:val="003E71C6"/>
    <w:rsid w:val="003E7BE8"/>
    <w:rsid w:val="003F2EEF"/>
    <w:rsid w:val="003F534B"/>
    <w:rsid w:val="003F53C3"/>
    <w:rsid w:val="003F557E"/>
    <w:rsid w:val="003F6374"/>
    <w:rsid w:val="003F63F7"/>
    <w:rsid w:val="003F6B93"/>
    <w:rsid w:val="003F71A7"/>
    <w:rsid w:val="003F7F7F"/>
    <w:rsid w:val="0040017D"/>
    <w:rsid w:val="00400F90"/>
    <w:rsid w:val="0040146F"/>
    <w:rsid w:val="00401819"/>
    <w:rsid w:val="004023B5"/>
    <w:rsid w:val="00402836"/>
    <w:rsid w:val="00402CCD"/>
    <w:rsid w:val="00405CB0"/>
    <w:rsid w:val="00407312"/>
    <w:rsid w:val="004075FF"/>
    <w:rsid w:val="00410CA8"/>
    <w:rsid w:val="00410E80"/>
    <w:rsid w:val="004110B7"/>
    <w:rsid w:val="00412D08"/>
    <w:rsid w:val="004131C2"/>
    <w:rsid w:val="0041552E"/>
    <w:rsid w:val="00415F8F"/>
    <w:rsid w:val="004167E8"/>
    <w:rsid w:val="00416A68"/>
    <w:rsid w:val="00417AB7"/>
    <w:rsid w:val="00417B7D"/>
    <w:rsid w:val="00421236"/>
    <w:rsid w:val="004229CA"/>
    <w:rsid w:val="00422D90"/>
    <w:rsid w:val="0042347A"/>
    <w:rsid w:val="00423A7A"/>
    <w:rsid w:val="00423BA0"/>
    <w:rsid w:val="004251B0"/>
    <w:rsid w:val="00425FB8"/>
    <w:rsid w:val="004271FC"/>
    <w:rsid w:val="004279EF"/>
    <w:rsid w:val="00427C35"/>
    <w:rsid w:val="00427CAB"/>
    <w:rsid w:val="004315AF"/>
    <w:rsid w:val="00431A71"/>
    <w:rsid w:val="00432575"/>
    <w:rsid w:val="0043263F"/>
    <w:rsid w:val="00432CAF"/>
    <w:rsid w:val="004335DD"/>
    <w:rsid w:val="00433FD2"/>
    <w:rsid w:val="004351B8"/>
    <w:rsid w:val="004359A3"/>
    <w:rsid w:val="004359EA"/>
    <w:rsid w:val="00435E34"/>
    <w:rsid w:val="0043626C"/>
    <w:rsid w:val="00437304"/>
    <w:rsid w:val="00440A2D"/>
    <w:rsid w:val="00442CAC"/>
    <w:rsid w:val="00443778"/>
    <w:rsid w:val="00443A2D"/>
    <w:rsid w:val="00444FF9"/>
    <w:rsid w:val="004456A4"/>
    <w:rsid w:val="00446272"/>
    <w:rsid w:val="00446351"/>
    <w:rsid w:val="00446426"/>
    <w:rsid w:val="00446724"/>
    <w:rsid w:val="004468F6"/>
    <w:rsid w:val="00447CED"/>
    <w:rsid w:val="00450436"/>
    <w:rsid w:val="00450B28"/>
    <w:rsid w:val="004517BC"/>
    <w:rsid w:val="00451C2F"/>
    <w:rsid w:val="00453B19"/>
    <w:rsid w:val="00453B1A"/>
    <w:rsid w:val="00453D23"/>
    <w:rsid w:val="004541EB"/>
    <w:rsid w:val="00454ABF"/>
    <w:rsid w:val="00454E5C"/>
    <w:rsid w:val="00454F7B"/>
    <w:rsid w:val="00455594"/>
    <w:rsid w:val="00457254"/>
    <w:rsid w:val="00457662"/>
    <w:rsid w:val="00460CA8"/>
    <w:rsid w:val="0046160B"/>
    <w:rsid w:val="00461BD9"/>
    <w:rsid w:val="00461E71"/>
    <w:rsid w:val="00462585"/>
    <w:rsid w:val="004632A0"/>
    <w:rsid w:val="00464428"/>
    <w:rsid w:val="00464F2E"/>
    <w:rsid w:val="00465145"/>
    <w:rsid w:val="0046521F"/>
    <w:rsid w:val="00465BB1"/>
    <w:rsid w:val="004670AD"/>
    <w:rsid w:val="004670C2"/>
    <w:rsid w:val="004671B4"/>
    <w:rsid w:val="00467A31"/>
    <w:rsid w:val="00470845"/>
    <w:rsid w:val="00470973"/>
    <w:rsid w:val="00470BE3"/>
    <w:rsid w:val="0047157E"/>
    <w:rsid w:val="00471698"/>
    <w:rsid w:val="00472CA0"/>
    <w:rsid w:val="004735DE"/>
    <w:rsid w:val="00473606"/>
    <w:rsid w:val="00473969"/>
    <w:rsid w:val="00474ADE"/>
    <w:rsid w:val="00474EE2"/>
    <w:rsid w:val="00475097"/>
    <w:rsid w:val="00476811"/>
    <w:rsid w:val="00476CD3"/>
    <w:rsid w:val="00476E39"/>
    <w:rsid w:val="004771D1"/>
    <w:rsid w:val="00480396"/>
    <w:rsid w:val="00480478"/>
    <w:rsid w:val="00480986"/>
    <w:rsid w:val="004817EA"/>
    <w:rsid w:val="00481B98"/>
    <w:rsid w:val="00481E2D"/>
    <w:rsid w:val="00482721"/>
    <w:rsid w:val="004827F6"/>
    <w:rsid w:val="00482C5F"/>
    <w:rsid w:val="00483311"/>
    <w:rsid w:val="00483C58"/>
    <w:rsid w:val="004846DB"/>
    <w:rsid w:val="0048475F"/>
    <w:rsid w:val="00484EFF"/>
    <w:rsid w:val="004856F2"/>
    <w:rsid w:val="00485729"/>
    <w:rsid w:val="004869AB"/>
    <w:rsid w:val="00486B2D"/>
    <w:rsid w:val="00486EF0"/>
    <w:rsid w:val="00487FBC"/>
    <w:rsid w:val="00490665"/>
    <w:rsid w:val="00490D26"/>
    <w:rsid w:val="00490FCD"/>
    <w:rsid w:val="0049145B"/>
    <w:rsid w:val="00491BB6"/>
    <w:rsid w:val="0049339C"/>
    <w:rsid w:val="0049340D"/>
    <w:rsid w:val="00494730"/>
    <w:rsid w:val="00495369"/>
    <w:rsid w:val="0049691C"/>
    <w:rsid w:val="00496941"/>
    <w:rsid w:val="00497C07"/>
    <w:rsid w:val="00497CF1"/>
    <w:rsid w:val="00497DEA"/>
    <w:rsid w:val="004A0783"/>
    <w:rsid w:val="004A0D28"/>
    <w:rsid w:val="004A0E70"/>
    <w:rsid w:val="004A0F2F"/>
    <w:rsid w:val="004A1072"/>
    <w:rsid w:val="004A114C"/>
    <w:rsid w:val="004A23B1"/>
    <w:rsid w:val="004A371D"/>
    <w:rsid w:val="004A4B06"/>
    <w:rsid w:val="004A4E4F"/>
    <w:rsid w:val="004A5C20"/>
    <w:rsid w:val="004A65AC"/>
    <w:rsid w:val="004A6AD7"/>
    <w:rsid w:val="004B259D"/>
    <w:rsid w:val="004B269A"/>
    <w:rsid w:val="004B287C"/>
    <w:rsid w:val="004B431E"/>
    <w:rsid w:val="004B5113"/>
    <w:rsid w:val="004B51E8"/>
    <w:rsid w:val="004B6769"/>
    <w:rsid w:val="004B6B62"/>
    <w:rsid w:val="004B740B"/>
    <w:rsid w:val="004B75C2"/>
    <w:rsid w:val="004B783F"/>
    <w:rsid w:val="004B7ABF"/>
    <w:rsid w:val="004C06C0"/>
    <w:rsid w:val="004C07D6"/>
    <w:rsid w:val="004C0B9F"/>
    <w:rsid w:val="004C2C52"/>
    <w:rsid w:val="004C2D08"/>
    <w:rsid w:val="004C310B"/>
    <w:rsid w:val="004C3500"/>
    <w:rsid w:val="004C40DB"/>
    <w:rsid w:val="004C4876"/>
    <w:rsid w:val="004C54A4"/>
    <w:rsid w:val="004C6951"/>
    <w:rsid w:val="004C7031"/>
    <w:rsid w:val="004D004F"/>
    <w:rsid w:val="004D00D1"/>
    <w:rsid w:val="004D13B1"/>
    <w:rsid w:val="004D1500"/>
    <w:rsid w:val="004D1F91"/>
    <w:rsid w:val="004D24D0"/>
    <w:rsid w:val="004D2C2E"/>
    <w:rsid w:val="004D335C"/>
    <w:rsid w:val="004D4885"/>
    <w:rsid w:val="004D5CC1"/>
    <w:rsid w:val="004D613B"/>
    <w:rsid w:val="004D7765"/>
    <w:rsid w:val="004D7BED"/>
    <w:rsid w:val="004E0B9B"/>
    <w:rsid w:val="004E1FAB"/>
    <w:rsid w:val="004E2A1B"/>
    <w:rsid w:val="004E2AE8"/>
    <w:rsid w:val="004E2F58"/>
    <w:rsid w:val="004E598F"/>
    <w:rsid w:val="004E6641"/>
    <w:rsid w:val="004E6D88"/>
    <w:rsid w:val="004F09A4"/>
    <w:rsid w:val="004F1306"/>
    <w:rsid w:val="004F1493"/>
    <w:rsid w:val="004F21D2"/>
    <w:rsid w:val="004F2B05"/>
    <w:rsid w:val="004F3072"/>
    <w:rsid w:val="004F413F"/>
    <w:rsid w:val="004F589D"/>
    <w:rsid w:val="004F667C"/>
    <w:rsid w:val="005004EE"/>
    <w:rsid w:val="005011AE"/>
    <w:rsid w:val="00503655"/>
    <w:rsid w:val="00504BC6"/>
    <w:rsid w:val="00504FBD"/>
    <w:rsid w:val="00505063"/>
    <w:rsid w:val="00505924"/>
    <w:rsid w:val="00505BAF"/>
    <w:rsid w:val="00506747"/>
    <w:rsid w:val="005077E5"/>
    <w:rsid w:val="00507EB6"/>
    <w:rsid w:val="00510344"/>
    <w:rsid w:val="00511335"/>
    <w:rsid w:val="0051206D"/>
    <w:rsid w:val="00513D4F"/>
    <w:rsid w:val="005150F3"/>
    <w:rsid w:val="00516DCE"/>
    <w:rsid w:val="00517352"/>
    <w:rsid w:val="00517CE6"/>
    <w:rsid w:val="00520074"/>
    <w:rsid w:val="00520D5C"/>
    <w:rsid w:val="00521185"/>
    <w:rsid w:val="00522D38"/>
    <w:rsid w:val="00523F7F"/>
    <w:rsid w:val="005249D9"/>
    <w:rsid w:val="00525678"/>
    <w:rsid w:val="0052602E"/>
    <w:rsid w:val="00526308"/>
    <w:rsid w:val="00527B4A"/>
    <w:rsid w:val="00531428"/>
    <w:rsid w:val="00532175"/>
    <w:rsid w:val="00532B21"/>
    <w:rsid w:val="00533DF8"/>
    <w:rsid w:val="00534C2E"/>
    <w:rsid w:val="005351D5"/>
    <w:rsid w:val="0053598E"/>
    <w:rsid w:val="00536AB0"/>
    <w:rsid w:val="00537A33"/>
    <w:rsid w:val="00540E0B"/>
    <w:rsid w:val="00540F5D"/>
    <w:rsid w:val="00541680"/>
    <w:rsid w:val="0054211E"/>
    <w:rsid w:val="00542A91"/>
    <w:rsid w:val="00542B5D"/>
    <w:rsid w:val="005431B3"/>
    <w:rsid w:val="0054331D"/>
    <w:rsid w:val="00544176"/>
    <w:rsid w:val="0054460A"/>
    <w:rsid w:val="00544B35"/>
    <w:rsid w:val="00544CB9"/>
    <w:rsid w:val="00545858"/>
    <w:rsid w:val="005459D8"/>
    <w:rsid w:val="00545B4E"/>
    <w:rsid w:val="00545B5D"/>
    <w:rsid w:val="00545C8F"/>
    <w:rsid w:val="0054626D"/>
    <w:rsid w:val="00546BE1"/>
    <w:rsid w:val="00546D24"/>
    <w:rsid w:val="00547262"/>
    <w:rsid w:val="00547BDF"/>
    <w:rsid w:val="0055073C"/>
    <w:rsid w:val="00551648"/>
    <w:rsid w:val="005520E1"/>
    <w:rsid w:val="0055244C"/>
    <w:rsid w:val="00552BFB"/>
    <w:rsid w:val="00552DDB"/>
    <w:rsid w:val="00553519"/>
    <w:rsid w:val="005556BE"/>
    <w:rsid w:val="00555886"/>
    <w:rsid w:val="0055687C"/>
    <w:rsid w:val="00556DD8"/>
    <w:rsid w:val="00556F9D"/>
    <w:rsid w:val="0055765C"/>
    <w:rsid w:val="00557C46"/>
    <w:rsid w:val="00560081"/>
    <w:rsid w:val="00561A73"/>
    <w:rsid w:val="00561D8F"/>
    <w:rsid w:val="00562242"/>
    <w:rsid w:val="00563745"/>
    <w:rsid w:val="00564360"/>
    <w:rsid w:val="0056465C"/>
    <w:rsid w:val="00564AE2"/>
    <w:rsid w:val="00565E86"/>
    <w:rsid w:val="005661C6"/>
    <w:rsid w:val="005665D5"/>
    <w:rsid w:val="00566CDE"/>
    <w:rsid w:val="00566FCE"/>
    <w:rsid w:val="00566FDF"/>
    <w:rsid w:val="00567787"/>
    <w:rsid w:val="0057185C"/>
    <w:rsid w:val="00571C8F"/>
    <w:rsid w:val="00571EEB"/>
    <w:rsid w:val="00572A41"/>
    <w:rsid w:val="00573AF9"/>
    <w:rsid w:val="00573FFF"/>
    <w:rsid w:val="005749CC"/>
    <w:rsid w:val="00574D1B"/>
    <w:rsid w:val="00574F36"/>
    <w:rsid w:val="005752F1"/>
    <w:rsid w:val="005762BF"/>
    <w:rsid w:val="00576753"/>
    <w:rsid w:val="00576E08"/>
    <w:rsid w:val="00576EF9"/>
    <w:rsid w:val="00577648"/>
    <w:rsid w:val="00577775"/>
    <w:rsid w:val="00577850"/>
    <w:rsid w:val="00577CE6"/>
    <w:rsid w:val="0058023E"/>
    <w:rsid w:val="00581096"/>
    <w:rsid w:val="005823AE"/>
    <w:rsid w:val="005825ED"/>
    <w:rsid w:val="00582FD8"/>
    <w:rsid w:val="00583C82"/>
    <w:rsid w:val="0058464B"/>
    <w:rsid w:val="00585B00"/>
    <w:rsid w:val="00586018"/>
    <w:rsid w:val="005861C2"/>
    <w:rsid w:val="005867BE"/>
    <w:rsid w:val="00587EDA"/>
    <w:rsid w:val="00587FC3"/>
    <w:rsid w:val="00590445"/>
    <w:rsid w:val="00590C93"/>
    <w:rsid w:val="00591988"/>
    <w:rsid w:val="00591D6E"/>
    <w:rsid w:val="0059274B"/>
    <w:rsid w:val="00592E89"/>
    <w:rsid w:val="005939CC"/>
    <w:rsid w:val="0059451C"/>
    <w:rsid w:val="00595C44"/>
    <w:rsid w:val="00596B1E"/>
    <w:rsid w:val="005A083D"/>
    <w:rsid w:val="005A0A1B"/>
    <w:rsid w:val="005A13B4"/>
    <w:rsid w:val="005A1AB4"/>
    <w:rsid w:val="005A1F27"/>
    <w:rsid w:val="005A2EE8"/>
    <w:rsid w:val="005A3AC3"/>
    <w:rsid w:val="005A43D4"/>
    <w:rsid w:val="005A4919"/>
    <w:rsid w:val="005A52EF"/>
    <w:rsid w:val="005A5DC2"/>
    <w:rsid w:val="005A6A45"/>
    <w:rsid w:val="005B02B4"/>
    <w:rsid w:val="005B14A1"/>
    <w:rsid w:val="005B20C8"/>
    <w:rsid w:val="005B2674"/>
    <w:rsid w:val="005B28D0"/>
    <w:rsid w:val="005B2923"/>
    <w:rsid w:val="005B2A83"/>
    <w:rsid w:val="005B2C0F"/>
    <w:rsid w:val="005B2CE4"/>
    <w:rsid w:val="005B2FCD"/>
    <w:rsid w:val="005B3578"/>
    <w:rsid w:val="005B38C6"/>
    <w:rsid w:val="005B435B"/>
    <w:rsid w:val="005B5AEB"/>
    <w:rsid w:val="005B6431"/>
    <w:rsid w:val="005B6C89"/>
    <w:rsid w:val="005B7334"/>
    <w:rsid w:val="005B760E"/>
    <w:rsid w:val="005B7A8B"/>
    <w:rsid w:val="005B7D72"/>
    <w:rsid w:val="005C00C9"/>
    <w:rsid w:val="005C088F"/>
    <w:rsid w:val="005C0907"/>
    <w:rsid w:val="005C10DC"/>
    <w:rsid w:val="005C124B"/>
    <w:rsid w:val="005C1A78"/>
    <w:rsid w:val="005C2FA6"/>
    <w:rsid w:val="005C3028"/>
    <w:rsid w:val="005C3F3B"/>
    <w:rsid w:val="005C4D65"/>
    <w:rsid w:val="005C531C"/>
    <w:rsid w:val="005C567A"/>
    <w:rsid w:val="005C5773"/>
    <w:rsid w:val="005C69E9"/>
    <w:rsid w:val="005C732D"/>
    <w:rsid w:val="005C783B"/>
    <w:rsid w:val="005C78CB"/>
    <w:rsid w:val="005D0AFA"/>
    <w:rsid w:val="005D12DD"/>
    <w:rsid w:val="005D1C9F"/>
    <w:rsid w:val="005D2021"/>
    <w:rsid w:val="005D2457"/>
    <w:rsid w:val="005D25E0"/>
    <w:rsid w:val="005D2C0C"/>
    <w:rsid w:val="005D3353"/>
    <w:rsid w:val="005D3678"/>
    <w:rsid w:val="005D3F12"/>
    <w:rsid w:val="005D402E"/>
    <w:rsid w:val="005D4049"/>
    <w:rsid w:val="005D41F0"/>
    <w:rsid w:val="005D4325"/>
    <w:rsid w:val="005D47C7"/>
    <w:rsid w:val="005D636D"/>
    <w:rsid w:val="005D6786"/>
    <w:rsid w:val="005D6971"/>
    <w:rsid w:val="005D7BF8"/>
    <w:rsid w:val="005D7DA3"/>
    <w:rsid w:val="005E0205"/>
    <w:rsid w:val="005E0343"/>
    <w:rsid w:val="005E0D85"/>
    <w:rsid w:val="005E130B"/>
    <w:rsid w:val="005E186C"/>
    <w:rsid w:val="005E1B04"/>
    <w:rsid w:val="005E1CA3"/>
    <w:rsid w:val="005E1DBA"/>
    <w:rsid w:val="005E1E0B"/>
    <w:rsid w:val="005E1EB9"/>
    <w:rsid w:val="005E1FC1"/>
    <w:rsid w:val="005E25C7"/>
    <w:rsid w:val="005E2C79"/>
    <w:rsid w:val="005E3595"/>
    <w:rsid w:val="005E369C"/>
    <w:rsid w:val="005E3C59"/>
    <w:rsid w:val="005E40CF"/>
    <w:rsid w:val="005E5F5D"/>
    <w:rsid w:val="005E741D"/>
    <w:rsid w:val="005E7851"/>
    <w:rsid w:val="005E7EC0"/>
    <w:rsid w:val="005F09A9"/>
    <w:rsid w:val="005F297C"/>
    <w:rsid w:val="005F3AB7"/>
    <w:rsid w:val="005F3B7D"/>
    <w:rsid w:val="005F40D5"/>
    <w:rsid w:val="005F410A"/>
    <w:rsid w:val="005F4561"/>
    <w:rsid w:val="005F551C"/>
    <w:rsid w:val="005F58F5"/>
    <w:rsid w:val="005F5D35"/>
    <w:rsid w:val="005F64F1"/>
    <w:rsid w:val="00600ACA"/>
    <w:rsid w:val="00600EEB"/>
    <w:rsid w:val="00601594"/>
    <w:rsid w:val="00601AD7"/>
    <w:rsid w:val="00601B18"/>
    <w:rsid w:val="00601E08"/>
    <w:rsid w:val="006027A6"/>
    <w:rsid w:val="00602EC2"/>
    <w:rsid w:val="00604DE4"/>
    <w:rsid w:val="00605197"/>
    <w:rsid w:val="00606250"/>
    <w:rsid w:val="00606FDA"/>
    <w:rsid w:val="006073DD"/>
    <w:rsid w:val="00607584"/>
    <w:rsid w:val="00607CDF"/>
    <w:rsid w:val="0061142C"/>
    <w:rsid w:val="006116BD"/>
    <w:rsid w:val="00611872"/>
    <w:rsid w:val="0061206B"/>
    <w:rsid w:val="00612130"/>
    <w:rsid w:val="00613030"/>
    <w:rsid w:val="00614698"/>
    <w:rsid w:val="0061534D"/>
    <w:rsid w:val="00615ADC"/>
    <w:rsid w:val="0061612F"/>
    <w:rsid w:val="006172A4"/>
    <w:rsid w:val="006207A8"/>
    <w:rsid w:val="006214A1"/>
    <w:rsid w:val="00621780"/>
    <w:rsid w:val="006217C5"/>
    <w:rsid w:val="006218C5"/>
    <w:rsid w:val="00623039"/>
    <w:rsid w:val="006237CA"/>
    <w:rsid w:val="006265B2"/>
    <w:rsid w:val="00626A96"/>
    <w:rsid w:val="00626ED0"/>
    <w:rsid w:val="0062751E"/>
    <w:rsid w:val="00630973"/>
    <w:rsid w:val="00630CC7"/>
    <w:rsid w:val="006311F8"/>
    <w:rsid w:val="00631FD5"/>
    <w:rsid w:val="0063217D"/>
    <w:rsid w:val="0063317B"/>
    <w:rsid w:val="006339B3"/>
    <w:rsid w:val="00633A60"/>
    <w:rsid w:val="00633C44"/>
    <w:rsid w:val="006351F7"/>
    <w:rsid w:val="00635571"/>
    <w:rsid w:val="00635625"/>
    <w:rsid w:val="006360F8"/>
    <w:rsid w:val="006361FE"/>
    <w:rsid w:val="006363F5"/>
    <w:rsid w:val="00637810"/>
    <w:rsid w:val="00637FE4"/>
    <w:rsid w:val="0064098E"/>
    <w:rsid w:val="0064176F"/>
    <w:rsid w:val="00641EF2"/>
    <w:rsid w:val="00643425"/>
    <w:rsid w:val="00643A58"/>
    <w:rsid w:val="00643E63"/>
    <w:rsid w:val="00643F32"/>
    <w:rsid w:val="0064571C"/>
    <w:rsid w:val="0064611D"/>
    <w:rsid w:val="0064624E"/>
    <w:rsid w:val="006463EC"/>
    <w:rsid w:val="00646A83"/>
    <w:rsid w:val="00646EC0"/>
    <w:rsid w:val="00647A89"/>
    <w:rsid w:val="00650E7C"/>
    <w:rsid w:val="006511FE"/>
    <w:rsid w:val="00652004"/>
    <w:rsid w:val="0065252B"/>
    <w:rsid w:val="00652CE2"/>
    <w:rsid w:val="00652E3B"/>
    <w:rsid w:val="0065312A"/>
    <w:rsid w:val="00653E17"/>
    <w:rsid w:val="00654E4A"/>
    <w:rsid w:val="00654ED9"/>
    <w:rsid w:val="006552AA"/>
    <w:rsid w:val="00655895"/>
    <w:rsid w:val="00655DCA"/>
    <w:rsid w:val="006566F6"/>
    <w:rsid w:val="00656C2F"/>
    <w:rsid w:val="00660268"/>
    <w:rsid w:val="006618CE"/>
    <w:rsid w:val="006629B9"/>
    <w:rsid w:val="00662CA1"/>
    <w:rsid w:val="00662DD3"/>
    <w:rsid w:val="00663AA9"/>
    <w:rsid w:val="006640D2"/>
    <w:rsid w:val="00664919"/>
    <w:rsid w:val="00664C45"/>
    <w:rsid w:val="006668AC"/>
    <w:rsid w:val="00670082"/>
    <w:rsid w:val="00670476"/>
    <w:rsid w:val="00670986"/>
    <w:rsid w:val="006718D7"/>
    <w:rsid w:val="00672591"/>
    <w:rsid w:val="006735CE"/>
    <w:rsid w:val="00673C59"/>
    <w:rsid w:val="00674A43"/>
    <w:rsid w:val="006750FC"/>
    <w:rsid w:val="00675180"/>
    <w:rsid w:val="006752C1"/>
    <w:rsid w:val="006752F0"/>
    <w:rsid w:val="006758D9"/>
    <w:rsid w:val="006767E9"/>
    <w:rsid w:val="006768F2"/>
    <w:rsid w:val="006776BC"/>
    <w:rsid w:val="00680297"/>
    <w:rsid w:val="00680786"/>
    <w:rsid w:val="00681670"/>
    <w:rsid w:val="00681D21"/>
    <w:rsid w:val="00681EBA"/>
    <w:rsid w:val="006826DE"/>
    <w:rsid w:val="00682851"/>
    <w:rsid w:val="00684A4B"/>
    <w:rsid w:val="00686DA4"/>
    <w:rsid w:val="00687715"/>
    <w:rsid w:val="00687871"/>
    <w:rsid w:val="0069034E"/>
    <w:rsid w:val="00690664"/>
    <w:rsid w:val="00691D88"/>
    <w:rsid w:val="006921F0"/>
    <w:rsid w:val="0069344C"/>
    <w:rsid w:val="00694872"/>
    <w:rsid w:val="0069489D"/>
    <w:rsid w:val="0069594D"/>
    <w:rsid w:val="00695F74"/>
    <w:rsid w:val="006962C6"/>
    <w:rsid w:val="006975D5"/>
    <w:rsid w:val="00697742"/>
    <w:rsid w:val="006A0821"/>
    <w:rsid w:val="006A2D3E"/>
    <w:rsid w:val="006A380B"/>
    <w:rsid w:val="006A3912"/>
    <w:rsid w:val="006A47A7"/>
    <w:rsid w:val="006A5BB0"/>
    <w:rsid w:val="006A6C95"/>
    <w:rsid w:val="006A7458"/>
    <w:rsid w:val="006A7F95"/>
    <w:rsid w:val="006B00C4"/>
    <w:rsid w:val="006B0BAF"/>
    <w:rsid w:val="006B0C6C"/>
    <w:rsid w:val="006B1B8F"/>
    <w:rsid w:val="006B235D"/>
    <w:rsid w:val="006B2606"/>
    <w:rsid w:val="006B2772"/>
    <w:rsid w:val="006B28B0"/>
    <w:rsid w:val="006B2917"/>
    <w:rsid w:val="006B2A1A"/>
    <w:rsid w:val="006B306A"/>
    <w:rsid w:val="006B4164"/>
    <w:rsid w:val="006B4317"/>
    <w:rsid w:val="006B4577"/>
    <w:rsid w:val="006B5525"/>
    <w:rsid w:val="006B55B2"/>
    <w:rsid w:val="006B5C69"/>
    <w:rsid w:val="006B5E7B"/>
    <w:rsid w:val="006B60C0"/>
    <w:rsid w:val="006B7F42"/>
    <w:rsid w:val="006C0246"/>
    <w:rsid w:val="006C0DC2"/>
    <w:rsid w:val="006C173C"/>
    <w:rsid w:val="006C2B2C"/>
    <w:rsid w:val="006C3C87"/>
    <w:rsid w:val="006C3F2E"/>
    <w:rsid w:val="006C4482"/>
    <w:rsid w:val="006C4DAB"/>
    <w:rsid w:val="006C5E16"/>
    <w:rsid w:val="006D0898"/>
    <w:rsid w:val="006D0BA0"/>
    <w:rsid w:val="006D2797"/>
    <w:rsid w:val="006D333C"/>
    <w:rsid w:val="006D53C0"/>
    <w:rsid w:val="006D57F4"/>
    <w:rsid w:val="006D5B9C"/>
    <w:rsid w:val="006D645B"/>
    <w:rsid w:val="006D7995"/>
    <w:rsid w:val="006E0527"/>
    <w:rsid w:val="006E0582"/>
    <w:rsid w:val="006E1068"/>
    <w:rsid w:val="006E16FB"/>
    <w:rsid w:val="006E1A04"/>
    <w:rsid w:val="006E1C64"/>
    <w:rsid w:val="006E2943"/>
    <w:rsid w:val="006E2D82"/>
    <w:rsid w:val="006E2D92"/>
    <w:rsid w:val="006E3D37"/>
    <w:rsid w:val="006E3F86"/>
    <w:rsid w:val="006E5837"/>
    <w:rsid w:val="006E6FBC"/>
    <w:rsid w:val="006F04C1"/>
    <w:rsid w:val="006F08BC"/>
    <w:rsid w:val="006F12EF"/>
    <w:rsid w:val="006F402D"/>
    <w:rsid w:val="006F4139"/>
    <w:rsid w:val="006F4202"/>
    <w:rsid w:val="006F4E3F"/>
    <w:rsid w:val="006F5A96"/>
    <w:rsid w:val="006F63DE"/>
    <w:rsid w:val="006F6CF1"/>
    <w:rsid w:val="006F7280"/>
    <w:rsid w:val="006F76B9"/>
    <w:rsid w:val="0070009F"/>
    <w:rsid w:val="007001E9"/>
    <w:rsid w:val="00700676"/>
    <w:rsid w:val="00700F76"/>
    <w:rsid w:val="007012D2"/>
    <w:rsid w:val="007013E9"/>
    <w:rsid w:val="00701F5C"/>
    <w:rsid w:val="00703383"/>
    <w:rsid w:val="007037D1"/>
    <w:rsid w:val="00703E37"/>
    <w:rsid w:val="0070431F"/>
    <w:rsid w:val="00704FC5"/>
    <w:rsid w:val="007060C8"/>
    <w:rsid w:val="00706907"/>
    <w:rsid w:val="00707FE3"/>
    <w:rsid w:val="007107B5"/>
    <w:rsid w:val="00710983"/>
    <w:rsid w:val="007113C0"/>
    <w:rsid w:val="00711A54"/>
    <w:rsid w:val="00712AD7"/>
    <w:rsid w:val="00712D64"/>
    <w:rsid w:val="0071316E"/>
    <w:rsid w:val="00713398"/>
    <w:rsid w:val="00713607"/>
    <w:rsid w:val="00714051"/>
    <w:rsid w:val="00714259"/>
    <w:rsid w:val="00714E8E"/>
    <w:rsid w:val="007158A7"/>
    <w:rsid w:val="00716B7B"/>
    <w:rsid w:val="007221C7"/>
    <w:rsid w:val="007229CF"/>
    <w:rsid w:val="00723A28"/>
    <w:rsid w:val="00723CFE"/>
    <w:rsid w:val="00724B27"/>
    <w:rsid w:val="00725F87"/>
    <w:rsid w:val="00726127"/>
    <w:rsid w:val="007266E8"/>
    <w:rsid w:val="00726731"/>
    <w:rsid w:val="00726954"/>
    <w:rsid w:val="00726A63"/>
    <w:rsid w:val="00726AC2"/>
    <w:rsid w:val="007275FE"/>
    <w:rsid w:val="007301B1"/>
    <w:rsid w:val="0073067F"/>
    <w:rsid w:val="00732106"/>
    <w:rsid w:val="007326FD"/>
    <w:rsid w:val="00732A64"/>
    <w:rsid w:val="00732B60"/>
    <w:rsid w:val="007336C9"/>
    <w:rsid w:val="00733ED9"/>
    <w:rsid w:val="007350FB"/>
    <w:rsid w:val="00735109"/>
    <w:rsid w:val="00737675"/>
    <w:rsid w:val="0074024A"/>
    <w:rsid w:val="00741508"/>
    <w:rsid w:val="007417DE"/>
    <w:rsid w:val="0074181F"/>
    <w:rsid w:val="00742B6D"/>
    <w:rsid w:val="00742E5C"/>
    <w:rsid w:val="00743349"/>
    <w:rsid w:val="00744AF8"/>
    <w:rsid w:val="00745777"/>
    <w:rsid w:val="00745C01"/>
    <w:rsid w:val="00746193"/>
    <w:rsid w:val="007479F2"/>
    <w:rsid w:val="00750571"/>
    <w:rsid w:val="007513ED"/>
    <w:rsid w:val="00751CF7"/>
    <w:rsid w:val="00751FF9"/>
    <w:rsid w:val="0075280D"/>
    <w:rsid w:val="00753C27"/>
    <w:rsid w:val="00754746"/>
    <w:rsid w:val="00754944"/>
    <w:rsid w:val="007554AC"/>
    <w:rsid w:val="00756B03"/>
    <w:rsid w:val="00756ED6"/>
    <w:rsid w:val="00757270"/>
    <w:rsid w:val="00760526"/>
    <w:rsid w:val="0076267B"/>
    <w:rsid w:val="00762738"/>
    <w:rsid w:val="007631B7"/>
    <w:rsid w:val="007637BF"/>
    <w:rsid w:val="007663E3"/>
    <w:rsid w:val="007671CE"/>
    <w:rsid w:val="00770510"/>
    <w:rsid w:val="007713BD"/>
    <w:rsid w:val="00775385"/>
    <w:rsid w:val="0077553E"/>
    <w:rsid w:val="00775B20"/>
    <w:rsid w:val="007762D8"/>
    <w:rsid w:val="0077690C"/>
    <w:rsid w:val="00776E40"/>
    <w:rsid w:val="00776E46"/>
    <w:rsid w:val="00777221"/>
    <w:rsid w:val="00777688"/>
    <w:rsid w:val="00781DB4"/>
    <w:rsid w:val="00782C46"/>
    <w:rsid w:val="007838E2"/>
    <w:rsid w:val="00784852"/>
    <w:rsid w:val="00784AAC"/>
    <w:rsid w:val="00784D9B"/>
    <w:rsid w:val="00784E2E"/>
    <w:rsid w:val="00785691"/>
    <w:rsid w:val="0078794D"/>
    <w:rsid w:val="007902AF"/>
    <w:rsid w:val="00790492"/>
    <w:rsid w:val="00790581"/>
    <w:rsid w:val="00791E91"/>
    <w:rsid w:val="00792F31"/>
    <w:rsid w:val="00794756"/>
    <w:rsid w:val="0079592B"/>
    <w:rsid w:val="00797DFA"/>
    <w:rsid w:val="007A0508"/>
    <w:rsid w:val="007A0E09"/>
    <w:rsid w:val="007A3A15"/>
    <w:rsid w:val="007A3B1E"/>
    <w:rsid w:val="007A4109"/>
    <w:rsid w:val="007A4A84"/>
    <w:rsid w:val="007A4F1C"/>
    <w:rsid w:val="007A5E3B"/>
    <w:rsid w:val="007A5F25"/>
    <w:rsid w:val="007A6A72"/>
    <w:rsid w:val="007B0E3E"/>
    <w:rsid w:val="007B3218"/>
    <w:rsid w:val="007B326F"/>
    <w:rsid w:val="007B4023"/>
    <w:rsid w:val="007B535D"/>
    <w:rsid w:val="007B53FF"/>
    <w:rsid w:val="007B6250"/>
    <w:rsid w:val="007B6A0C"/>
    <w:rsid w:val="007B6B24"/>
    <w:rsid w:val="007C0250"/>
    <w:rsid w:val="007C1476"/>
    <w:rsid w:val="007C1924"/>
    <w:rsid w:val="007C1976"/>
    <w:rsid w:val="007C1B80"/>
    <w:rsid w:val="007C2264"/>
    <w:rsid w:val="007C25AC"/>
    <w:rsid w:val="007C26C3"/>
    <w:rsid w:val="007C2AE1"/>
    <w:rsid w:val="007C35FB"/>
    <w:rsid w:val="007C37E8"/>
    <w:rsid w:val="007C42F3"/>
    <w:rsid w:val="007C4C5B"/>
    <w:rsid w:val="007C5FD3"/>
    <w:rsid w:val="007C6230"/>
    <w:rsid w:val="007C7262"/>
    <w:rsid w:val="007C791E"/>
    <w:rsid w:val="007D2280"/>
    <w:rsid w:val="007D247F"/>
    <w:rsid w:val="007D2855"/>
    <w:rsid w:val="007D2995"/>
    <w:rsid w:val="007D2AE2"/>
    <w:rsid w:val="007D44E0"/>
    <w:rsid w:val="007D4F89"/>
    <w:rsid w:val="007D5FEA"/>
    <w:rsid w:val="007D720C"/>
    <w:rsid w:val="007D792E"/>
    <w:rsid w:val="007E00D5"/>
    <w:rsid w:val="007E022E"/>
    <w:rsid w:val="007E0CB8"/>
    <w:rsid w:val="007E0F7B"/>
    <w:rsid w:val="007E105B"/>
    <w:rsid w:val="007E2011"/>
    <w:rsid w:val="007E29FD"/>
    <w:rsid w:val="007E2F19"/>
    <w:rsid w:val="007E3275"/>
    <w:rsid w:val="007E3768"/>
    <w:rsid w:val="007E3988"/>
    <w:rsid w:val="007E43AF"/>
    <w:rsid w:val="007E4FE4"/>
    <w:rsid w:val="007E66BD"/>
    <w:rsid w:val="007E6D81"/>
    <w:rsid w:val="007E75CD"/>
    <w:rsid w:val="007E7738"/>
    <w:rsid w:val="007F04B1"/>
    <w:rsid w:val="007F096B"/>
    <w:rsid w:val="007F2406"/>
    <w:rsid w:val="007F245E"/>
    <w:rsid w:val="007F2796"/>
    <w:rsid w:val="007F2C90"/>
    <w:rsid w:val="007F2F9C"/>
    <w:rsid w:val="007F5371"/>
    <w:rsid w:val="007F59ED"/>
    <w:rsid w:val="007F7002"/>
    <w:rsid w:val="007F7882"/>
    <w:rsid w:val="007F7BE4"/>
    <w:rsid w:val="007F7F02"/>
    <w:rsid w:val="008006AA"/>
    <w:rsid w:val="00800833"/>
    <w:rsid w:val="0080104E"/>
    <w:rsid w:val="00802402"/>
    <w:rsid w:val="008034FC"/>
    <w:rsid w:val="0080360F"/>
    <w:rsid w:val="00803C25"/>
    <w:rsid w:val="00804196"/>
    <w:rsid w:val="008055B1"/>
    <w:rsid w:val="008057EE"/>
    <w:rsid w:val="0080591F"/>
    <w:rsid w:val="0080644A"/>
    <w:rsid w:val="00806694"/>
    <w:rsid w:val="008068E4"/>
    <w:rsid w:val="00806C30"/>
    <w:rsid w:val="00807A2D"/>
    <w:rsid w:val="008107B5"/>
    <w:rsid w:val="00810BC2"/>
    <w:rsid w:val="00810DCE"/>
    <w:rsid w:val="00810DF8"/>
    <w:rsid w:val="00811BC7"/>
    <w:rsid w:val="00813397"/>
    <w:rsid w:val="0081342A"/>
    <w:rsid w:val="008138D1"/>
    <w:rsid w:val="00814042"/>
    <w:rsid w:val="00814576"/>
    <w:rsid w:val="00816713"/>
    <w:rsid w:val="00817976"/>
    <w:rsid w:val="008200D8"/>
    <w:rsid w:val="00820254"/>
    <w:rsid w:val="008203BA"/>
    <w:rsid w:val="008207A1"/>
    <w:rsid w:val="008210DF"/>
    <w:rsid w:val="00822E78"/>
    <w:rsid w:val="0082306A"/>
    <w:rsid w:val="0082359F"/>
    <w:rsid w:val="008238AE"/>
    <w:rsid w:val="00823E44"/>
    <w:rsid w:val="0082421B"/>
    <w:rsid w:val="0082624D"/>
    <w:rsid w:val="0082656E"/>
    <w:rsid w:val="00826754"/>
    <w:rsid w:val="008268C2"/>
    <w:rsid w:val="0082739A"/>
    <w:rsid w:val="008303D8"/>
    <w:rsid w:val="00830B91"/>
    <w:rsid w:val="00831085"/>
    <w:rsid w:val="0083242A"/>
    <w:rsid w:val="00832C71"/>
    <w:rsid w:val="008338F7"/>
    <w:rsid w:val="008339EE"/>
    <w:rsid w:val="00834920"/>
    <w:rsid w:val="00835A49"/>
    <w:rsid w:val="00835C09"/>
    <w:rsid w:val="00836340"/>
    <w:rsid w:val="00836875"/>
    <w:rsid w:val="00837E9C"/>
    <w:rsid w:val="00837F14"/>
    <w:rsid w:val="008412BC"/>
    <w:rsid w:val="00841350"/>
    <w:rsid w:val="00841D54"/>
    <w:rsid w:val="008421E4"/>
    <w:rsid w:val="00842A66"/>
    <w:rsid w:val="00842F9C"/>
    <w:rsid w:val="00842FE2"/>
    <w:rsid w:val="00843339"/>
    <w:rsid w:val="008439B3"/>
    <w:rsid w:val="008439FB"/>
    <w:rsid w:val="00843FEF"/>
    <w:rsid w:val="008444FC"/>
    <w:rsid w:val="008451AB"/>
    <w:rsid w:val="00845262"/>
    <w:rsid w:val="00845494"/>
    <w:rsid w:val="00846707"/>
    <w:rsid w:val="008469C0"/>
    <w:rsid w:val="00847CFF"/>
    <w:rsid w:val="00850473"/>
    <w:rsid w:val="00851A1F"/>
    <w:rsid w:val="0085296C"/>
    <w:rsid w:val="00852C41"/>
    <w:rsid w:val="008548F6"/>
    <w:rsid w:val="008549F8"/>
    <w:rsid w:val="00855082"/>
    <w:rsid w:val="008550AB"/>
    <w:rsid w:val="00855EE6"/>
    <w:rsid w:val="00856297"/>
    <w:rsid w:val="008569C7"/>
    <w:rsid w:val="0085789E"/>
    <w:rsid w:val="00857BC9"/>
    <w:rsid w:val="00860B2F"/>
    <w:rsid w:val="00861000"/>
    <w:rsid w:val="008614A0"/>
    <w:rsid w:val="008625F8"/>
    <w:rsid w:val="00863F6D"/>
    <w:rsid w:val="00864C11"/>
    <w:rsid w:val="00865C82"/>
    <w:rsid w:val="00865E5C"/>
    <w:rsid w:val="00866763"/>
    <w:rsid w:val="0086750D"/>
    <w:rsid w:val="00870E0C"/>
    <w:rsid w:val="00870E4B"/>
    <w:rsid w:val="00871D04"/>
    <w:rsid w:val="00871FC2"/>
    <w:rsid w:val="008722CE"/>
    <w:rsid w:val="00873BC3"/>
    <w:rsid w:val="00873C8F"/>
    <w:rsid w:val="00874211"/>
    <w:rsid w:val="00874ADA"/>
    <w:rsid w:val="00874AF7"/>
    <w:rsid w:val="008770EF"/>
    <w:rsid w:val="008814CB"/>
    <w:rsid w:val="00882543"/>
    <w:rsid w:val="00882CDC"/>
    <w:rsid w:val="00884802"/>
    <w:rsid w:val="008866B1"/>
    <w:rsid w:val="008866F0"/>
    <w:rsid w:val="00886C0E"/>
    <w:rsid w:val="008875A0"/>
    <w:rsid w:val="00887D93"/>
    <w:rsid w:val="00890261"/>
    <w:rsid w:val="008902E5"/>
    <w:rsid w:val="008903EC"/>
    <w:rsid w:val="00893035"/>
    <w:rsid w:val="0089306A"/>
    <w:rsid w:val="00894EA0"/>
    <w:rsid w:val="00894EF2"/>
    <w:rsid w:val="00897272"/>
    <w:rsid w:val="0089783A"/>
    <w:rsid w:val="008978C2"/>
    <w:rsid w:val="008A0307"/>
    <w:rsid w:val="008A1CE5"/>
    <w:rsid w:val="008A27FC"/>
    <w:rsid w:val="008A574D"/>
    <w:rsid w:val="008A5937"/>
    <w:rsid w:val="008A59D9"/>
    <w:rsid w:val="008A5A7C"/>
    <w:rsid w:val="008A6B4C"/>
    <w:rsid w:val="008A6DB2"/>
    <w:rsid w:val="008A75EF"/>
    <w:rsid w:val="008A7F5A"/>
    <w:rsid w:val="008B0157"/>
    <w:rsid w:val="008B0AB3"/>
    <w:rsid w:val="008B11A0"/>
    <w:rsid w:val="008B327B"/>
    <w:rsid w:val="008B3A87"/>
    <w:rsid w:val="008B3CE0"/>
    <w:rsid w:val="008B3F4E"/>
    <w:rsid w:val="008B3FC2"/>
    <w:rsid w:val="008B3FDD"/>
    <w:rsid w:val="008B4CE9"/>
    <w:rsid w:val="008B596A"/>
    <w:rsid w:val="008C00D4"/>
    <w:rsid w:val="008C042C"/>
    <w:rsid w:val="008C18B3"/>
    <w:rsid w:val="008C1F1B"/>
    <w:rsid w:val="008C264C"/>
    <w:rsid w:val="008C2C24"/>
    <w:rsid w:val="008C499D"/>
    <w:rsid w:val="008C4E2A"/>
    <w:rsid w:val="008C511D"/>
    <w:rsid w:val="008C58BA"/>
    <w:rsid w:val="008C6518"/>
    <w:rsid w:val="008C66F6"/>
    <w:rsid w:val="008C6A5D"/>
    <w:rsid w:val="008C71A8"/>
    <w:rsid w:val="008C72F9"/>
    <w:rsid w:val="008C742C"/>
    <w:rsid w:val="008C7800"/>
    <w:rsid w:val="008D0380"/>
    <w:rsid w:val="008D0B97"/>
    <w:rsid w:val="008D171F"/>
    <w:rsid w:val="008D22D3"/>
    <w:rsid w:val="008D2446"/>
    <w:rsid w:val="008D2D5A"/>
    <w:rsid w:val="008D53E9"/>
    <w:rsid w:val="008D60F7"/>
    <w:rsid w:val="008D69A3"/>
    <w:rsid w:val="008E0B90"/>
    <w:rsid w:val="008E1146"/>
    <w:rsid w:val="008E1B04"/>
    <w:rsid w:val="008E1E30"/>
    <w:rsid w:val="008E1FBE"/>
    <w:rsid w:val="008E21E5"/>
    <w:rsid w:val="008E2330"/>
    <w:rsid w:val="008E3ECE"/>
    <w:rsid w:val="008E5935"/>
    <w:rsid w:val="008E5CE5"/>
    <w:rsid w:val="008E5F9F"/>
    <w:rsid w:val="008E6B8B"/>
    <w:rsid w:val="008E6D96"/>
    <w:rsid w:val="008E7902"/>
    <w:rsid w:val="008F0638"/>
    <w:rsid w:val="008F0E7E"/>
    <w:rsid w:val="008F172A"/>
    <w:rsid w:val="008F19E1"/>
    <w:rsid w:val="008F2204"/>
    <w:rsid w:val="008F3205"/>
    <w:rsid w:val="008F4616"/>
    <w:rsid w:val="008F4634"/>
    <w:rsid w:val="008F4702"/>
    <w:rsid w:val="008F4710"/>
    <w:rsid w:val="008F473A"/>
    <w:rsid w:val="008F68AC"/>
    <w:rsid w:val="00900F4E"/>
    <w:rsid w:val="00900FAF"/>
    <w:rsid w:val="009034BC"/>
    <w:rsid w:val="00903B1B"/>
    <w:rsid w:val="00904159"/>
    <w:rsid w:val="00904240"/>
    <w:rsid w:val="009053D9"/>
    <w:rsid w:val="009057BD"/>
    <w:rsid w:val="0090638E"/>
    <w:rsid w:val="00906DA1"/>
    <w:rsid w:val="009070A2"/>
    <w:rsid w:val="00907221"/>
    <w:rsid w:val="009077FF"/>
    <w:rsid w:val="00910264"/>
    <w:rsid w:val="009106E2"/>
    <w:rsid w:val="00912C28"/>
    <w:rsid w:val="0091456C"/>
    <w:rsid w:val="00914B9D"/>
    <w:rsid w:val="00915B65"/>
    <w:rsid w:val="0091618A"/>
    <w:rsid w:val="0091681B"/>
    <w:rsid w:val="00917832"/>
    <w:rsid w:val="00917972"/>
    <w:rsid w:val="00917CB2"/>
    <w:rsid w:val="00917DB0"/>
    <w:rsid w:val="0092060B"/>
    <w:rsid w:val="00921E0D"/>
    <w:rsid w:val="00922361"/>
    <w:rsid w:val="00922874"/>
    <w:rsid w:val="009234F7"/>
    <w:rsid w:val="00923D04"/>
    <w:rsid w:val="00923E31"/>
    <w:rsid w:val="00924527"/>
    <w:rsid w:val="00924A39"/>
    <w:rsid w:val="00925F68"/>
    <w:rsid w:val="009270B5"/>
    <w:rsid w:val="00927A49"/>
    <w:rsid w:val="00931E15"/>
    <w:rsid w:val="00933B0D"/>
    <w:rsid w:val="0093460C"/>
    <w:rsid w:val="00934E30"/>
    <w:rsid w:val="00936312"/>
    <w:rsid w:val="00937850"/>
    <w:rsid w:val="00937AD0"/>
    <w:rsid w:val="0094028B"/>
    <w:rsid w:val="009405C0"/>
    <w:rsid w:val="009410DC"/>
    <w:rsid w:val="0094145A"/>
    <w:rsid w:val="00943CAA"/>
    <w:rsid w:val="00943D6D"/>
    <w:rsid w:val="0094430C"/>
    <w:rsid w:val="00944888"/>
    <w:rsid w:val="00945980"/>
    <w:rsid w:val="00946126"/>
    <w:rsid w:val="00946580"/>
    <w:rsid w:val="009503EB"/>
    <w:rsid w:val="0095089D"/>
    <w:rsid w:val="00950D9B"/>
    <w:rsid w:val="00950FA3"/>
    <w:rsid w:val="0095199C"/>
    <w:rsid w:val="0095482B"/>
    <w:rsid w:val="009550FB"/>
    <w:rsid w:val="0095555C"/>
    <w:rsid w:val="00955924"/>
    <w:rsid w:val="00957DC5"/>
    <w:rsid w:val="0096089B"/>
    <w:rsid w:val="00961783"/>
    <w:rsid w:val="00961921"/>
    <w:rsid w:val="00962269"/>
    <w:rsid w:val="00962406"/>
    <w:rsid w:val="00963515"/>
    <w:rsid w:val="00963DB0"/>
    <w:rsid w:val="00964759"/>
    <w:rsid w:val="00964B87"/>
    <w:rsid w:val="00964FE9"/>
    <w:rsid w:val="009652B6"/>
    <w:rsid w:val="009656AB"/>
    <w:rsid w:val="009660C7"/>
    <w:rsid w:val="00966909"/>
    <w:rsid w:val="00966927"/>
    <w:rsid w:val="00966B17"/>
    <w:rsid w:val="00967642"/>
    <w:rsid w:val="00967CC4"/>
    <w:rsid w:val="009701FA"/>
    <w:rsid w:val="009715CD"/>
    <w:rsid w:val="00971731"/>
    <w:rsid w:val="0097252B"/>
    <w:rsid w:val="009733F2"/>
    <w:rsid w:val="00973734"/>
    <w:rsid w:val="0097398C"/>
    <w:rsid w:val="00974106"/>
    <w:rsid w:val="00974669"/>
    <w:rsid w:val="00974B90"/>
    <w:rsid w:val="00974DBA"/>
    <w:rsid w:val="00975819"/>
    <w:rsid w:val="00975A9C"/>
    <w:rsid w:val="00976462"/>
    <w:rsid w:val="0097646D"/>
    <w:rsid w:val="00977E7F"/>
    <w:rsid w:val="009806B8"/>
    <w:rsid w:val="00980761"/>
    <w:rsid w:val="009820B0"/>
    <w:rsid w:val="00982383"/>
    <w:rsid w:val="00982403"/>
    <w:rsid w:val="00982C20"/>
    <w:rsid w:val="00983788"/>
    <w:rsid w:val="00983997"/>
    <w:rsid w:val="00983D86"/>
    <w:rsid w:val="00984037"/>
    <w:rsid w:val="00984221"/>
    <w:rsid w:val="0098532E"/>
    <w:rsid w:val="00985A72"/>
    <w:rsid w:val="0098666F"/>
    <w:rsid w:val="009870A7"/>
    <w:rsid w:val="00990479"/>
    <w:rsid w:val="00990727"/>
    <w:rsid w:val="00991417"/>
    <w:rsid w:val="0099146E"/>
    <w:rsid w:val="009915BA"/>
    <w:rsid w:val="00992549"/>
    <w:rsid w:val="009930AC"/>
    <w:rsid w:val="00994254"/>
    <w:rsid w:val="009948D6"/>
    <w:rsid w:val="00996508"/>
    <w:rsid w:val="0099731E"/>
    <w:rsid w:val="009A01C3"/>
    <w:rsid w:val="009A021D"/>
    <w:rsid w:val="009A2B33"/>
    <w:rsid w:val="009A31C5"/>
    <w:rsid w:val="009A3BF7"/>
    <w:rsid w:val="009A422E"/>
    <w:rsid w:val="009A4362"/>
    <w:rsid w:val="009A6923"/>
    <w:rsid w:val="009A71D7"/>
    <w:rsid w:val="009A753B"/>
    <w:rsid w:val="009B1AED"/>
    <w:rsid w:val="009B1D72"/>
    <w:rsid w:val="009B2F60"/>
    <w:rsid w:val="009B31E5"/>
    <w:rsid w:val="009B366F"/>
    <w:rsid w:val="009B3675"/>
    <w:rsid w:val="009B3DF0"/>
    <w:rsid w:val="009B4B02"/>
    <w:rsid w:val="009B57B7"/>
    <w:rsid w:val="009B6CEF"/>
    <w:rsid w:val="009B7029"/>
    <w:rsid w:val="009B7347"/>
    <w:rsid w:val="009B7D17"/>
    <w:rsid w:val="009C0103"/>
    <w:rsid w:val="009C0743"/>
    <w:rsid w:val="009C169D"/>
    <w:rsid w:val="009C2592"/>
    <w:rsid w:val="009C3A46"/>
    <w:rsid w:val="009C3D3D"/>
    <w:rsid w:val="009C4004"/>
    <w:rsid w:val="009C41E3"/>
    <w:rsid w:val="009C4795"/>
    <w:rsid w:val="009C4B60"/>
    <w:rsid w:val="009C4C16"/>
    <w:rsid w:val="009C5A23"/>
    <w:rsid w:val="009C6C87"/>
    <w:rsid w:val="009C6E88"/>
    <w:rsid w:val="009C71BB"/>
    <w:rsid w:val="009D010B"/>
    <w:rsid w:val="009D087B"/>
    <w:rsid w:val="009D0DAC"/>
    <w:rsid w:val="009D1356"/>
    <w:rsid w:val="009D1596"/>
    <w:rsid w:val="009D1736"/>
    <w:rsid w:val="009D1847"/>
    <w:rsid w:val="009D1898"/>
    <w:rsid w:val="009D19E9"/>
    <w:rsid w:val="009D1EF1"/>
    <w:rsid w:val="009D2521"/>
    <w:rsid w:val="009D2FBE"/>
    <w:rsid w:val="009D37F6"/>
    <w:rsid w:val="009D3C6C"/>
    <w:rsid w:val="009D4268"/>
    <w:rsid w:val="009D4380"/>
    <w:rsid w:val="009D47E6"/>
    <w:rsid w:val="009D4AFF"/>
    <w:rsid w:val="009D4C71"/>
    <w:rsid w:val="009D4EEB"/>
    <w:rsid w:val="009D5CCC"/>
    <w:rsid w:val="009D67D6"/>
    <w:rsid w:val="009D6BD3"/>
    <w:rsid w:val="009D71E9"/>
    <w:rsid w:val="009E1E79"/>
    <w:rsid w:val="009E398A"/>
    <w:rsid w:val="009E4650"/>
    <w:rsid w:val="009E46AC"/>
    <w:rsid w:val="009E4E77"/>
    <w:rsid w:val="009E5A4F"/>
    <w:rsid w:val="009E63D3"/>
    <w:rsid w:val="009E63D9"/>
    <w:rsid w:val="009E6439"/>
    <w:rsid w:val="009E6B3C"/>
    <w:rsid w:val="009E6E49"/>
    <w:rsid w:val="009E7B4A"/>
    <w:rsid w:val="009F0192"/>
    <w:rsid w:val="009F11AD"/>
    <w:rsid w:val="009F189A"/>
    <w:rsid w:val="009F1DD2"/>
    <w:rsid w:val="009F209D"/>
    <w:rsid w:val="009F227B"/>
    <w:rsid w:val="009F2B89"/>
    <w:rsid w:val="009F2DE9"/>
    <w:rsid w:val="009F509D"/>
    <w:rsid w:val="009F58F4"/>
    <w:rsid w:val="009F6182"/>
    <w:rsid w:val="009F75DD"/>
    <w:rsid w:val="00A00328"/>
    <w:rsid w:val="00A003B7"/>
    <w:rsid w:val="00A039A0"/>
    <w:rsid w:val="00A045E8"/>
    <w:rsid w:val="00A0520B"/>
    <w:rsid w:val="00A05918"/>
    <w:rsid w:val="00A05D71"/>
    <w:rsid w:val="00A06C16"/>
    <w:rsid w:val="00A070F8"/>
    <w:rsid w:val="00A07376"/>
    <w:rsid w:val="00A10478"/>
    <w:rsid w:val="00A1097F"/>
    <w:rsid w:val="00A11132"/>
    <w:rsid w:val="00A11F19"/>
    <w:rsid w:val="00A12C3D"/>
    <w:rsid w:val="00A12D73"/>
    <w:rsid w:val="00A135D2"/>
    <w:rsid w:val="00A13A4D"/>
    <w:rsid w:val="00A13A93"/>
    <w:rsid w:val="00A14F17"/>
    <w:rsid w:val="00A15132"/>
    <w:rsid w:val="00A152D1"/>
    <w:rsid w:val="00A16810"/>
    <w:rsid w:val="00A169D5"/>
    <w:rsid w:val="00A17C0D"/>
    <w:rsid w:val="00A207FC"/>
    <w:rsid w:val="00A208F7"/>
    <w:rsid w:val="00A20AB7"/>
    <w:rsid w:val="00A227E2"/>
    <w:rsid w:val="00A228FA"/>
    <w:rsid w:val="00A22E79"/>
    <w:rsid w:val="00A22EDD"/>
    <w:rsid w:val="00A26047"/>
    <w:rsid w:val="00A2611B"/>
    <w:rsid w:val="00A268B4"/>
    <w:rsid w:val="00A2765E"/>
    <w:rsid w:val="00A303E3"/>
    <w:rsid w:val="00A304FD"/>
    <w:rsid w:val="00A30D15"/>
    <w:rsid w:val="00A30E33"/>
    <w:rsid w:val="00A31E8D"/>
    <w:rsid w:val="00A32495"/>
    <w:rsid w:val="00A32606"/>
    <w:rsid w:val="00A326C7"/>
    <w:rsid w:val="00A32865"/>
    <w:rsid w:val="00A34184"/>
    <w:rsid w:val="00A34FA1"/>
    <w:rsid w:val="00A351D9"/>
    <w:rsid w:val="00A35D77"/>
    <w:rsid w:val="00A369E1"/>
    <w:rsid w:val="00A40BD6"/>
    <w:rsid w:val="00A41C4E"/>
    <w:rsid w:val="00A42E75"/>
    <w:rsid w:val="00A42FAB"/>
    <w:rsid w:val="00A43332"/>
    <w:rsid w:val="00A4342A"/>
    <w:rsid w:val="00A436B1"/>
    <w:rsid w:val="00A44817"/>
    <w:rsid w:val="00A44829"/>
    <w:rsid w:val="00A44C1A"/>
    <w:rsid w:val="00A45513"/>
    <w:rsid w:val="00A457D6"/>
    <w:rsid w:val="00A4650C"/>
    <w:rsid w:val="00A50D02"/>
    <w:rsid w:val="00A52D35"/>
    <w:rsid w:val="00A5321D"/>
    <w:rsid w:val="00A537E5"/>
    <w:rsid w:val="00A5414A"/>
    <w:rsid w:val="00A5493D"/>
    <w:rsid w:val="00A552B1"/>
    <w:rsid w:val="00A56B8B"/>
    <w:rsid w:val="00A56F3E"/>
    <w:rsid w:val="00A57311"/>
    <w:rsid w:val="00A57526"/>
    <w:rsid w:val="00A604DF"/>
    <w:rsid w:val="00A6181B"/>
    <w:rsid w:val="00A62A1C"/>
    <w:rsid w:val="00A62BFB"/>
    <w:rsid w:val="00A63599"/>
    <w:rsid w:val="00A64348"/>
    <w:rsid w:val="00A65418"/>
    <w:rsid w:val="00A654D9"/>
    <w:rsid w:val="00A657D5"/>
    <w:rsid w:val="00A67BEE"/>
    <w:rsid w:val="00A67E5D"/>
    <w:rsid w:val="00A7088E"/>
    <w:rsid w:val="00A70DBE"/>
    <w:rsid w:val="00A70DE0"/>
    <w:rsid w:val="00A71F1E"/>
    <w:rsid w:val="00A732F2"/>
    <w:rsid w:val="00A738A0"/>
    <w:rsid w:val="00A74526"/>
    <w:rsid w:val="00A74A1B"/>
    <w:rsid w:val="00A75D45"/>
    <w:rsid w:val="00A7632D"/>
    <w:rsid w:val="00A76871"/>
    <w:rsid w:val="00A76C4A"/>
    <w:rsid w:val="00A7712E"/>
    <w:rsid w:val="00A8048D"/>
    <w:rsid w:val="00A80FAC"/>
    <w:rsid w:val="00A8180C"/>
    <w:rsid w:val="00A81EC4"/>
    <w:rsid w:val="00A82086"/>
    <w:rsid w:val="00A828EC"/>
    <w:rsid w:val="00A82B39"/>
    <w:rsid w:val="00A83033"/>
    <w:rsid w:val="00A83E2D"/>
    <w:rsid w:val="00A8415C"/>
    <w:rsid w:val="00A842DE"/>
    <w:rsid w:val="00A8431F"/>
    <w:rsid w:val="00A84911"/>
    <w:rsid w:val="00A851B9"/>
    <w:rsid w:val="00A91228"/>
    <w:rsid w:val="00A9186B"/>
    <w:rsid w:val="00A918EB"/>
    <w:rsid w:val="00A91D43"/>
    <w:rsid w:val="00A920C3"/>
    <w:rsid w:val="00A931E1"/>
    <w:rsid w:val="00A93DD3"/>
    <w:rsid w:val="00A93ED6"/>
    <w:rsid w:val="00A940A6"/>
    <w:rsid w:val="00A94850"/>
    <w:rsid w:val="00A953FB"/>
    <w:rsid w:val="00A9543F"/>
    <w:rsid w:val="00A95F3C"/>
    <w:rsid w:val="00A9771F"/>
    <w:rsid w:val="00A9780F"/>
    <w:rsid w:val="00A97A8F"/>
    <w:rsid w:val="00AA093C"/>
    <w:rsid w:val="00AA0E1F"/>
    <w:rsid w:val="00AA2590"/>
    <w:rsid w:val="00AA2A17"/>
    <w:rsid w:val="00AA3029"/>
    <w:rsid w:val="00AA4292"/>
    <w:rsid w:val="00AA4FC0"/>
    <w:rsid w:val="00AA5BE5"/>
    <w:rsid w:val="00AA6191"/>
    <w:rsid w:val="00AA6C54"/>
    <w:rsid w:val="00AA708F"/>
    <w:rsid w:val="00AA7E58"/>
    <w:rsid w:val="00AB0993"/>
    <w:rsid w:val="00AB1FEC"/>
    <w:rsid w:val="00AB2249"/>
    <w:rsid w:val="00AB250D"/>
    <w:rsid w:val="00AB253F"/>
    <w:rsid w:val="00AB2DC3"/>
    <w:rsid w:val="00AB3CF7"/>
    <w:rsid w:val="00AB3D9E"/>
    <w:rsid w:val="00AB40A3"/>
    <w:rsid w:val="00AB4D14"/>
    <w:rsid w:val="00AB5A95"/>
    <w:rsid w:val="00AB5B88"/>
    <w:rsid w:val="00AB5F69"/>
    <w:rsid w:val="00AB7A8D"/>
    <w:rsid w:val="00AB7F70"/>
    <w:rsid w:val="00AC044A"/>
    <w:rsid w:val="00AC0A79"/>
    <w:rsid w:val="00AC10FC"/>
    <w:rsid w:val="00AC1BBE"/>
    <w:rsid w:val="00AC2D02"/>
    <w:rsid w:val="00AC35E1"/>
    <w:rsid w:val="00AC37EF"/>
    <w:rsid w:val="00AC4800"/>
    <w:rsid w:val="00AC5B6E"/>
    <w:rsid w:val="00AC68AF"/>
    <w:rsid w:val="00AC69E1"/>
    <w:rsid w:val="00AC7024"/>
    <w:rsid w:val="00AD0987"/>
    <w:rsid w:val="00AD17AF"/>
    <w:rsid w:val="00AD2127"/>
    <w:rsid w:val="00AD2488"/>
    <w:rsid w:val="00AD30E7"/>
    <w:rsid w:val="00AD3739"/>
    <w:rsid w:val="00AD3D31"/>
    <w:rsid w:val="00AD6EB5"/>
    <w:rsid w:val="00AD7C59"/>
    <w:rsid w:val="00AE082A"/>
    <w:rsid w:val="00AE0BED"/>
    <w:rsid w:val="00AE1005"/>
    <w:rsid w:val="00AE15FC"/>
    <w:rsid w:val="00AE1E8E"/>
    <w:rsid w:val="00AE280C"/>
    <w:rsid w:val="00AE3D18"/>
    <w:rsid w:val="00AE442E"/>
    <w:rsid w:val="00AE488D"/>
    <w:rsid w:val="00AE5690"/>
    <w:rsid w:val="00AE5699"/>
    <w:rsid w:val="00AE6156"/>
    <w:rsid w:val="00AE615B"/>
    <w:rsid w:val="00AE6399"/>
    <w:rsid w:val="00AF0363"/>
    <w:rsid w:val="00AF04B3"/>
    <w:rsid w:val="00AF0C72"/>
    <w:rsid w:val="00AF1EFB"/>
    <w:rsid w:val="00AF2763"/>
    <w:rsid w:val="00AF2914"/>
    <w:rsid w:val="00AF32FF"/>
    <w:rsid w:val="00AF44DF"/>
    <w:rsid w:val="00AF46F8"/>
    <w:rsid w:val="00AF49EB"/>
    <w:rsid w:val="00AF5106"/>
    <w:rsid w:val="00AF7B2A"/>
    <w:rsid w:val="00B00E56"/>
    <w:rsid w:val="00B01445"/>
    <w:rsid w:val="00B014AF"/>
    <w:rsid w:val="00B01F74"/>
    <w:rsid w:val="00B02F70"/>
    <w:rsid w:val="00B0422E"/>
    <w:rsid w:val="00B05732"/>
    <w:rsid w:val="00B070E6"/>
    <w:rsid w:val="00B075A4"/>
    <w:rsid w:val="00B10BC9"/>
    <w:rsid w:val="00B10D02"/>
    <w:rsid w:val="00B1195D"/>
    <w:rsid w:val="00B12C7C"/>
    <w:rsid w:val="00B13179"/>
    <w:rsid w:val="00B131D1"/>
    <w:rsid w:val="00B15045"/>
    <w:rsid w:val="00B1583F"/>
    <w:rsid w:val="00B16BFE"/>
    <w:rsid w:val="00B16C3E"/>
    <w:rsid w:val="00B20634"/>
    <w:rsid w:val="00B2108E"/>
    <w:rsid w:val="00B23598"/>
    <w:rsid w:val="00B2360D"/>
    <w:rsid w:val="00B238B4"/>
    <w:rsid w:val="00B24F48"/>
    <w:rsid w:val="00B25E95"/>
    <w:rsid w:val="00B2646B"/>
    <w:rsid w:val="00B26681"/>
    <w:rsid w:val="00B26A65"/>
    <w:rsid w:val="00B274C0"/>
    <w:rsid w:val="00B27FAC"/>
    <w:rsid w:val="00B31591"/>
    <w:rsid w:val="00B32826"/>
    <w:rsid w:val="00B32D05"/>
    <w:rsid w:val="00B33272"/>
    <w:rsid w:val="00B34AEB"/>
    <w:rsid w:val="00B353F1"/>
    <w:rsid w:val="00B35666"/>
    <w:rsid w:val="00B37802"/>
    <w:rsid w:val="00B37DEE"/>
    <w:rsid w:val="00B41D12"/>
    <w:rsid w:val="00B428F3"/>
    <w:rsid w:val="00B450C4"/>
    <w:rsid w:val="00B45905"/>
    <w:rsid w:val="00B46411"/>
    <w:rsid w:val="00B46C6A"/>
    <w:rsid w:val="00B46C6C"/>
    <w:rsid w:val="00B47552"/>
    <w:rsid w:val="00B47FCB"/>
    <w:rsid w:val="00B501CC"/>
    <w:rsid w:val="00B5038B"/>
    <w:rsid w:val="00B506E3"/>
    <w:rsid w:val="00B509A6"/>
    <w:rsid w:val="00B5251E"/>
    <w:rsid w:val="00B52CE0"/>
    <w:rsid w:val="00B53186"/>
    <w:rsid w:val="00B5337B"/>
    <w:rsid w:val="00B53D0B"/>
    <w:rsid w:val="00B53D16"/>
    <w:rsid w:val="00B5414C"/>
    <w:rsid w:val="00B5487F"/>
    <w:rsid w:val="00B5493C"/>
    <w:rsid w:val="00B54957"/>
    <w:rsid w:val="00B549A2"/>
    <w:rsid w:val="00B564C3"/>
    <w:rsid w:val="00B574F4"/>
    <w:rsid w:val="00B57C90"/>
    <w:rsid w:val="00B60174"/>
    <w:rsid w:val="00B60D6B"/>
    <w:rsid w:val="00B615D5"/>
    <w:rsid w:val="00B61728"/>
    <w:rsid w:val="00B6228E"/>
    <w:rsid w:val="00B624DF"/>
    <w:rsid w:val="00B62823"/>
    <w:rsid w:val="00B63A4F"/>
    <w:rsid w:val="00B64222"/>
    <w:rsid w:val="00B646D3"/>
    <w:rsid w:val="00B64D4F"/>
    <w:rsid w:val="00B65AC3"/>
    <w:rsid w:val="00B66228"/>
    <w:rsid w:val="00B664A8"/>
    <w:rsid w:val="00B66D13"/>
    <w:rsid w:val="00B66EA1"/>
    <w:rsid w:val="00B672E6"/>
    <w:rsid w:val="00B708D3"/>
    <w:rsid w:val="00B711C2"/>
    <w:rsid w:val="00B719C8"/>
    <w:rsid w:val="00B71D64"/>
    <w:rsid w:val="00B7213A"/>
    <w:rsid w:val="00B7227A"/>
    <w:rsid w:val="00B72529"/>
    <w:rsid w:val="00B72C69"/>
    <w:rsid w:val="00B73E0D"/>
    <w:rsid w:val="00B75EC0"/>
    <w:rsid w:val="00B767C3"/>
    <w:rsid w:val="00B77340"/>
    <w:rsid w:val="00B77D7D"/>
    <w:rsid w:val="00B77F51"/>
    <w:rsid w:val="00B80458"/>
    <w:rsid w:val="00B80A32"/>
    <w:rsid w:val="00B81A73"/>
    <w:rsid w:val="00B81D5D"/>
    <w:rsid w:val="00B8296C"/>
    <w:rsid w:val="00B82995"/>
    <w:rsid w:val="00B82F9A"/>
    <w:rsid w:val="00B830C8"/>
    <w:rsid w:val="00B8392C"/>
    <w:rsid w:val="00B83C65"/>
    <w:rsid w:val="00B84440"/>
    <w:rsid w:val="00B84B05"/>
    <w:rsid w:val="00B84C08"/>
    <w:rsid w:val="00B84F84"/>
    <w:rsid w:val="00B855B1"/>
    <w:rsid w:val="00B85DA1"/>
    <w:rsid w:val="00B86709"/>
    <w:rsid w:val="00B87431"/>
    <w:rsid w:val="00B878E1"/>
    <w:rsid w:val="00B91276"/>
    <w:rsid w:val="00B91C1E"/>
    <w:rsid w:val="00B92C53"/>
    <w:rsid w:val="00B92D61"/>
    <w:rsid w:val="00B934FF"/>
    <w:rsid w:val="00B93800"/>
    <w:rsid w:val="00B947AD"/>
    <w:rsid w:val="00B94B13"/>
    <w:rsid w:val="00B9608F"/>
    <w:rsid w:val="00B96589"/>
    <w:rsid w:val="00B96AA1"/>
    <w:rsid w:val="00B971A6"/>
    <w:rsid w:val="00B97617"/>
    <w:rsid w:val="00BA0932"/>
    <w:rsid w:val="00BA11D5"/>
    <w:rsid w:val="00BA12D7"/>
    <w:rsid w:val="00BA14A5"/>
    <w:rsid w:val="00BA19C7"/>
    <w:rsid w:val="00BA1EE8"/>
    <w:rsid w:val="00BA24EC"/>
    <w:rsid w:val="00BA2E80"/>
    <w:rsid w:val="00BA31E5"/>
    <w:rsid w:val="00BA4372"/>
    <w:rsid w:val="00BA43B9"/>
    <w:rsid w:val="00BA4992"/>
    <w:rsid w:val="00BA5E2B"/>
    <w:rsid w:val="00BA697A"/>
    <w:rsid w:val="00BA6BEF"/>
    <w:rsid w:val="00BB1147"/>
    <w:rsid w:val="00BB120D"/>
    <w:rsid w:val="00BB180D"/>
    <w:rsid w:val="00BB1D8A"/>
    <w:rsid w:val="00BB1E2D"/>
    <w:rsid w:val="00BB26F6"/>
    <w:rsid w:val="00BB3143"/>
    <w:rsid w:val="00BB3AC7"/>
    <w:rsid w:val="00BB3C5D"/>
    <w:rsid w:val="00BB4680"/>
    <w:rsid w:val="00BB49FC"/>
    <w:rsid w:val="00BB4A4F"/>
    <w:rsid w:val="00BB594A"/>
    <w:rsid w:val="00BB6BBB"/>
    <w:rsid w:val="00BB76E1"/>
    <w:rsid w:val="00BC13EA"/>
    <w:rsid w:val="00BC1B93"/>
    <w:rsid w:val="00BC1D37"/>
    <w:rsid w:val="00BC2437"/>
    <w:rsid w:val="00BC271D"/>
    <w:rsid w:val="00BC2E6F"/>
    <w:rsid w:val="00BC329F"/>
    <w:rsid w:val="00BC3586"/>
    <w:rsid w:val="00BC3B23"/>
    <w:rsid w:val="00BC4620"/>
    <w:rsid w:val="00BC4760"/>
    <w:rsid w:val="00BC4C48"/>
    <w:rsid w:val="00BC4C55"/>
    <w:rsid w:val="00BC57CA"/>
    <w:rsid w:val="00BC5EEF"/>
    <w:rsid w:val="00BC621F"/>
    <w:rsid w:val="00BC652C"/>
    <w:rsid w:val="00BC6880"/>
    <w:rsid w:val="00BC6C39"/>
    <w:rsid w:val="00BC76D7"/>
    <w:rsid w:val="00BD0255"/>
    <w:rsid w:val="00BD0F3D"/>
    <w:rsid w:val="00BD35DF"/>
    <w:rsid w:val="00BD37D8"/>
    <w:rsid w:val="00BD4A0A"/>
    <w:rsid w:val="00BD4F07"/>
    <w:rsid w:val="00BD59A0"/>
    <w:rsid w:val="00BD63DD"/>
    <w:rsid w:val="00BD6579"/>
    <w:rsid w:val="00BD72F0"/>
    <w:rsid w:val="00BD7E0D"/>
    <w:rsid w:val="00BD7F13"/>
    <w:rsid w:val="00BE0235"/>
    <w:rsid w:val="00BE0A2B"/>
    <w:rsid w:val="00BE0EA4"/>
    <w:rsid w:val="00BE20E5"/>
    <w:rsid w:val="00BE2D87"/>
    <w:rsid w:val="00BE2E89"/>
    <w:rsid w:val="00BE36CC"/>
    <w:rsid w:val="00BE412E"/>
    <w:rsid w:val="00BE4B3A"/>
    <w:rsid w:val="00BE4E4C"/>
    <w:rsid w:val="00BE5189"/>
    <w:rsid w:val="00BE5731"/>
    <w:rsid w:val="00BE760D"/>
    <w:rsid w:val="00BF1208"/>
    <w:rsid w:val="00BF1A5D"/>
    <w:rsid w:val="00BF1AB5"/>
    <w:rsid w:val="00BF20FF"/>
    <w:rsid w:val="00BF2813"/>
    <w:rsid w:val="00BF39B0"/>
    <w:rsid w:val="00BF3E6A"/>
    <w:rsid w:val="00BF46E2"/>
    <w:rsid w:val="00BF5294"/>
    <w:rsid w:val="00BF5309"/>
    <w:rsid w:val="00BF5BC8"/>
    <w:rsid w:val="00BF5D97"/>
    <w:rsid w:val="00BF6EFB"/>
    <w:rsid w:val="00C00157"/>
    <w:rsid w:val="00C014B5"/>
    <w:rsid w:val="00C01BC3"/>
    <w:rsid w:val="00C02455"/>
    <w:rsid w:val="00C026CD"/>
    <w:rsid w:val="00C02F56"/>
    <w:rsid w:val="00C0301C"/>
    <w:rsid w:val="00C038C0"/>
    <w:rsid w:val="00C04120"/>
    <w:rsid w:val="00C04E4C"/>
    <w:rsid w:val="00C062A0"/>
    <w:rsid w:val="00C06D37"/>
    <w:rsid w:val="00C076E4"/>
    <w:rsid w:val="00C10DA7"/>
    <w:rsid w:val="00C1149F"/>
    <w:rsid w:val="00C119DB"/>
    <w:rsid w:val="00C1211B"/>
    <w:rsid w:val="00C12971"/>
    <w:rsid w:val="00C12EB0"/>
    <w:rsid w:val="00C12EC2"/>
    <w:rsid w:val="00C13371"/>
    <w:rsid w:val="00C13767"/>
    <w:rsid w:val="00C13E46"/>
    <w:rsid w:val="00C15781"/>
    <w:rsid w:val="00C16564"/>
    <w:rsid w:val="00C1683D"/>
    <w:rsid w:val="00C171C8"/>
    <w:rsid w:val="00C17BBB"/>
    <w:rsid w:val="00C17D0A"/>
    <w:rsid w:val="00C17EE2"/>
    <w:rsid w:val="00C225BF"/>
    <w:rsid w:val="00C22B21"/>
    <w:rsid w:val="00C238B0"/>
    <w:rsid w:val="00C245B4"/>
    <w:rsid w:val="00C2469F"/>
    <w:rsid w:val="00C253CA"/>
    <w:rsid w:val="00C26251"/>
    <w:rsid w:val="00C26CAD"/>
    <w:rsid w:val="00C27104"/>
    <w:rsid w:val="00C307F3"/>
    <w:rsid w:val="00C30AAB"/>
    <w:rsid w:val="00C30E3B"/>
    <w:rsid w:val="00C30E4B"/>
    <w:rsid w:val="00C316A9"/>
    <w:rsid w:val="00C3373C"/>
    <w:rsid w:val="00C342CF"/>
    <w:rsid w:val="00C344ED"/>
    <w:rsid w:val="00C34AD8"/>
    <w:rsid w:val="00C34F83"/>
    <w:rsid w:val="00C35608"/>
    <w:rsid w:val="00C356C3"/>
    <w:rsid w:val="00C37425"/>
    <w:rsid w:val="00C37447"/>
    <w:rsid w:val="00C43942"/>
    <w:rsid w:val="00C43EC1"/>
    <w:rsid w:val="00C452BA"/>
    <w:rsid w:val="00C45581"/>
    <w:rsid w:val="00C46EBC"/>
    <w:rsid w:val="00C47283"/>
    <w:rsid w:val="00C502AE"/>
    <w:rsid w:val="00C51B5D"/>
    <w:rsid w:val="00C5257B"/>
    <w:rsid w:val="00C52ACB"/>
    <w:rsid w:val="00C52BCE"/>
    <w:rsid w:val="00C53974"/>
    <w:rsid w:val="00C54CDF"/>
    <w:rsid w:val="00C54DBD"/>
    <w:rsid w:val="00C55092"/>
    <w:rsid w:val="00C564B9"/>
    <w:rsid w:val="00C57EAE"/>
    <w:rsid w:val="00C60271"/>
    <w:rsid w:val="00C60902"/>
    <w:rsid w:val="00C60B1E"/>
    <w:rsid w:val="00C61016"/>
    <w:rsid w:val="00C61C49"/>
    <w:rsid w:val="00C61FFF"/>
    <w:rsid w:val="00C63021"/>
    <w:rsid w:val="00C63AA0"/>
    <w:rsid w:val="00C63E82"/>
    <w:rsid w:val="00C64BEB"/>
    <w:rsid w:val="00C66403"/>
    <w:rsid w:val="00C66AAB"/>
    <w:rsid w:val="00C67EF7"/>
    <w:rsid w:val="00C67FE8"/>
    <w:rsid w:val="00C74AA6"/>
    <w:rsid w:val="00C74C7E"/>
    <w:rsid w:val="00C74D41"/>
    <w:rsid w:val="00C75043"/>
    <w:rsid w:val="00C75495"/>
    <w:rsid w:val="00C76D42"/>
    <w:rsid w:val="00C775A1"/>
    <w:rsid w:val="00C7773B"/>
    <w:rsid w:val="00C80E98"/>
    <w:rsid w:val="00C822B6"/>
    <w:rsid w:val="00C825B5"/>
    <w:rsid w:val="00C83D44"/>
    <w:rsid w:val="00C84963"/>
    <w:rsid w:val="00C84C48"/>
    <w:rsid w:val="00C85604"/>
    <w:rsid w:val="00C865F7"/>
    <w:rsid w:val="00C873DC"/>
    <w:rsid w:val="00C9081B"/>
    <w:rsid w:val="00C9081F"/>
    <w:rsid w:val="00C90CC4"/>
    <w:rsid w:val="00C91D00"/>
    <w:rsid w:val="00C92988"/>
    <w:rsid w:val="00C939AC"/>
    <w:rsid w:val="00C94480"/>
    <w:rsid w:val="00C95004"/>
    <w:rsid w:val="00C95BFD"/>
    <w:rsid w:val="00C960B9"/>
    <w:rsid w:val="00C969BA"/>
    <w:rsid w:val="00C972D5"/>
    <w:rsid w:val="00CA0CC3"/>
    <w:rsid w:val="00CA10BD"/>
    <w:rsid w:val="00CA136D"/>
    <w:rsid w:val="00CA1DB2"/>
    <w:rsid w:val="00CA3059"/>
    <w:rsid w:val="00CA4548"/>
    <w:rsid w:val="00CA4CE0"/>
    <w:rsid w:val="00CA5909"/>
    <w:rsid w:val="00CA608F"/>
    <w:rsid w:val="00CA6B98"/>
    <w:rsid w:val="00CB016F"/>
    <w:rsid w:val="00CB021B"/>
    <w:rsid w:val="00CB0AFA"/>
    <w:rsid w:val="00CB1657"/>
    <w:rsid w:val="00CB1D8E"/>
    <w:rsid w:val="00CB1E33"/>
    <w:rsid w:val="00CB2288"/>
    <w:rsid w:val="00CB33F5"/>
    <w:rsid w:val="00CB3413"/>
    <w:rsid w:val="00CB3A02"/>
    <w:rsid w:val="00CB4DCC"/>
    <w:rsid w:val="00CB4FDA"/>
    <w:rsid w:val="00CB5B36"/>
    <w:rsid w:val="00CB6755"/>
    <w:rsid w:val="00CB6F3D"/>
    <w:rsid w:val="00CC11F1"/>
    <w:rsid w:val="00CC182E"/>
    <w:rsid w:val="00CC1D5A"/>
    <w:rsid w:val="00CC2524"/>
    <w:rsid w:val="00CC25C0"/>
    <w:rsid w:val="00CC291D"/>
    <w:rsid w:val="00CC3252"/>
    <w:rsid w:val="00CC36DE"/>
    <w:rsid w:val="00CC42AE"/>
    <w:rsid w:val="00CC52D7"/>
    <w:rsid w:val="00CC6764"/>
    <w:rsid w:val="00CC773F"/>
    <w:rsid w:val="00CC79B4"/>
    <w:rsid w:val="00CC7C61"/>
    <w:rsid w:val="00CD0439"/>
    <w:rsid w:val="00CD06BD"/>
    <w:rsid w:val="00CD0AD0"/>
    <w:rsid w:val="00CD1ED4"/>
    <w:rsid w:val="00CD2AC6"/>
    <w:rsid w:val="00CD2C01"/>
    <w:rsid w:val="00CD32C3"/>
    <w:rsid w:val="00CD3339"/>
    <w:rsid w:val="00CD4F38"/>
    <w:rsid w:val="00CD4F67"/>
    <w:rsid w:val="00CE1B9C"/>
    <w:rsid w:val="00CE1C3F"/>
    <w:rsid w:val="00CE261A"/>
    <w:rsid w:val="00CE443D"/>
    <w:rsid w:val="00CE5210"/>
    <w:rsid w:val="00CE6666"/>
    <w:rsid w:val="00CE6CE1"/>
    <w:rsid w:val="00CE7898"/>
    <w:rsid w:val="00CF0206"/>
    <w:rsid w:val="00CF1562"/>
    <w:rsid w:val="00CF30AC"/>
    <w:rsid w:val="00CF3DDA"/>
    <w:rsid w:val="00CF3E86"/>
    <w:rsid w:val="00CF4381"/>
    <w:rsid w:val="00CF52C2"/>
    <w:rsid w:val="00CF52E5"/>
    <w:rsid w:val="00CF5765"/>
    <w:rsid w:val="00CF77E1"/>
    <w:rsid w:val="00CF77E4"/>
    <w:rsid w:val="00D00419"/>
    <w:rsid w:val="00D00994"/>
    <w:rsid w:val="00D00B69"/>
    <w:rsid w:val="00D0104D"/>
    <w:rsid w:val="00D019B1"/>
    <w:rsid w:val="00D028A3"/>
    <w:rsid w:val="00D02D16"/>
    <w:rsid w:val="00D0323D"/>
    <w:rsid w:val="00D03BD0"/>
    <w:rsid w:val="00D05CD8"/>
    <w:rsid w:val="00D05F8D"/>
    <w:rsid w:val="00D063EA"/>
    <w:rsid w:val="00D07928"/>
    <w:rsid w:val="00D10130"/>
    <w:rsid w:val="00D10F81"/>
    <w:rsid w:val="00D11D74"/>
    <w:rsid w:val="00D1279B"/>
    <w:rsid w:val="00D16034"/>
    <w:rsid w:val="00D20588"/>
    <w:rsid w:val="00D20764"/>
    <w:rsid w:val="00D208DF"/>
    <w:rsid w:val="00D20E47"/>
    <w:rsid w:val="00D20F45"/>
    <w:rsid w:val="00D212A5"/>
    <w:rsid w:val="00D22E27"/>
    <w:rsid w:val="00D2308C"/>
    <w:rsid w:val="00D23428"/>
    <w:rsid w:val="00D23CEE"/>
    <w:rsid w:val="00D25637"/>
    <w:rsid w:val="00D25D9C"/>
    <w:rsid w:val="00D26390"/>
    <w:rsid w:val="00D2767E"/>
    <w:rsid w:val="00D27A07"/>
    <w:rsid w:val="00D303B1"/>
    <w:rsid w:val="00D3054D"/>
    <w:rsid w:val="00D3075F"/>
    <w:rsid w:val="00D312D9"/>
    <w:rsid w:val="00D3204F"/>
    <w:rsid w:val="00D32785"/>
    <w:rsid w:val="00D37360"/>
    <w:rsid w:val="00D37DB9"/>
    <w:rsid w:val="00D4092F"/>
    <w:rsid w:val="00D40CF7"/>
    <w:rsid w:val="00D40D8F"/>
    <w:rsid w:val="00D42D5A"/>
    <w:rsid w:val="00D4309B"/>
    <w:rsid w:val="00D43222"/>
    <w:rsid w:val="00D4374B"/>
    <w:rsid w:val="00D43D8F"/>
    <w:rsid w:val="00D44778"/>
    <w:rsid w:val="00D44BB0"/>
    <w:rsid w:val="00D45809"/>
    <w:rsid w:val="00D45BC9"/>
    <w:rsid w:val="00D45C5F"/>
    <w:rsid w:val="00D46186"/>
    <w:rsid w:val="00D46486"/>
    <w:rsid w:val="00D505F6"/>
    <w:rsid w:val="00D519D0"/>
    <w:rsid w:val="00D51C97"/>
    <w:rsid w:val="00D52128"/>
    <w:rsid w:val="00D525B3"/>
    <w:rsid w:val="00D536B9"/>
    <w:rsid w:val="00D54D67"/>
    <w:rsid w:val="00D54F84"/>
    <w:rsid w:val="00D55D2F"/>
    <w:rsid w:val="00D61D1D"/>
    <w:rsid w:val="00D62054"/>
    <w:rsid w:val="00D621EC"/>
    <w:rsid w:val="00D6227F"/>
    <w:rsid w:val="00D63652"/>
    <w:rsid w:val="00D636FA"/>
    <w:rsid w:val="00D6370F"/>
    <w:rsid w:val="00D63BE9"/>
    <w:rsid w:val="00D6455F"/>
    <w:rsid w:val="00D64971"/>
    <w:rsid w:val="00D664F6"/>
    <w:rsid w:val="00D66CF8"/>
    <w:rsid w:val="00D66F63"/>
    <w:rsid w:val="00D671E9"/>
    <w:rsid w:val="00D6750A"/>
    <w:rsid w:val="00D70FA6"/>
    <w:rsid w:val="00D72B08"/>
    <w:rsid w:val="00D73382"/>
    <w:rsid w:val="00D7368D"/>
    <w:rsid w:val="00D74D95"/>
    <w:rsid w:val="00D75C20"/>
    <w:rsid w:val="00D7683A"/>
    <w:rsid w:val="00D807A1"/>
    <w:rsid w:val="00D808D9"/>
    <w:rsid w:val="00D8137D"/>
    <w:rsid w:val="00D8344D"/>
    <w:rsid w:val="00D8368E"/>
    <w:rsid w:val="00D8379E"/>
    <w:rsid w:val="00D844CB"/>
    <w:rsid w:val="00D8478F"/>
    <w:rsid w:val="00D84CF1"/>
    <w:rsid w:val="00D85551"/>
    <w:rsid w:val="00D85E81"/>
    <w:rsid w:val="00D85F08"/>
    <w:rsid w:val="00D85F5A"/>
    <w:rsid w:val="00D861EB"/>
    <w:rsid w:val="00D86F25"/>
    <w:rsid w:val="00D87167"/>
    <w:rsid w:val="00D87AC6"/>
    <w:rsid w:val="00D911D3"/>
    <w:rsid w:val="00D92437"/>
    <w:rsid w:val="00D929EB"/>
    <w:rsid w:val="00D92A90"/>
    <w:rsid w:val="00D93AD1"/>
    <w:rsid w:val="00D9416D"/>
    <w:rsid w:val="00D94943"/>
    <w:rsid w:val="00D94A92"/>
    <w:rsid w:val="00D94BA4"/>
    <w:rsid w:val="00D95D8A"/>
    <w:rsid w:val="00D96BFF"/>
    <w:rsid w:val="00D96CCA"/>
    <w:rsid w:val="00D97359"/>
    <w:rsid w:val="00D9795C"/>
    <w:rsid w:val="00DA2021"/>
    <w:rsid w:val="00DA2AB7"/>
    <w:rsid w:val="00DA308F"/>
    <w:rsid w:val="00DA3362"/>
    <w:rsid w:val="00DA3CD4"/>
    <w:rsid w:val="00DA4551"/>
    <w:rsid w:val="00DA5726"/>
    <w:rsid w:val="00DA5964"/>
    <w:rsid w:val="00DA5B6D"/>
    <w:rsid w:val="00DA60AB"/>
    <w:rsid w:val="00DA6ABD"/>
    <w:rsid w:val="00DB0E77"/>
    <w:rsid w:val="00DB1142"/>
    <w:rsid w:val="00DB1751"/>
    <w:rsid w:val="00DB2F23"/>
    <w:rsid w:val="00DB3821"/>
    <w:rsid w:val="00DB3BAC"/>
    <w:rsid w:val="00DB3BB4"/>
    <w:rsid w:val="00DB4271"/>
    <w:rsid w:val="00DB4B45"/>
    <w:rsid w:val="00DB4FD5"/>
    <w:rsid w:val="00DB6411"/>
    <w:rsid w:val="00DB6CDD"/>
    <w:rsid w:val="00DB7C34"/>
    <w:rsid w:val="00DC015A"/>
    <w:rsid w:val="00DC046E"/>
    <w:rsid w:val="00DC0F21"/>
    <w:rsid w:val="00DC1461"/>
    <w:rsid w:val="00DC156C"/>
    <w:rsid w:val="00DC1788"/>
    <w:rsid w:val="00DC1E77"/>
    <w:rsid w:val="00DC2288"/>
    <w:rsid w:val="00DC286C"/>
    <w:rsid w:val="00DC33EE"/>
    <w:rsid w:val="00DC37F1"/>
    <w:rsid w:val="00DC51B3"/>
    <w:rsid w:val="00DC5447"/>
    <w:rsid w:val="00DC6C0C"/>
    <w:rsid w:val="00DC6C56"/>
    <w:rsid w:val="00DC6D2A"/>
    <w:rsid w:val="00DC7025"/>
    <w:rsid w:val="00DC7162"/>
    <w:rsid w:val="00DD03FB"/>
    <w:rsid w:val="00DD0488"/>
    <w:rsid w:val="00DD0B69"/>
    <w:rsid w:val="00DD0DB7"/>
    <w:rsid w:val="00DD150B"/>
    <w:rsid w:val="00DD1B40"/>
    <w:rsid w:val="00DD1BD5"/>
    <w:rsid w:val="00DD392D"/>
    <w:rsid w:val="00DD3D33"/>
    <w:rsid w:val="00DD3FAD"/>
    <w:rsid w:val="00DD4046"/>
    <w:rsid w:val="00DD4052"/>
    <w:rsid w:val="00DD4FC2"/>
    <w:rsid w:val="00DD5C59"/>
    <w:rsid w:val="00DD5E44"/>
    <w:rsid w:val="00DD61D9"/>
    <w:rsid w:val="00DD6FB3"/>
    <w:rsid w:val="00DD7CD9"/>
    <w:rsid w:val="00DD7ED1"/>
    <w:rsid w:val="00DE15A1"/>
    <w:rsid w:val="00DE23AB"/>
    <w:rsid w:val="00DE2534"/>
    <w:rsid w:val="00DE270C"/>
    <w:rsid w:val="00DE307D"/>
    <w:rsid w:val="00DE3557"/>
    <w:rsid w:val="00DE4ED1"/>
    <w:rsid w:val="00DE64BC"/>
    <w:rsid w:val="00DE7855"/>
    <w:rsid w:val="00DF0D77"/>
    <w:rsid w:val="00DF15CB"/>
    <w:rsid w:val="00DF1BEA"/>
    <w:rsid w:val="00DF2295"/>
    <w:rsid w:val="00DF332A"/>
    <w:rsid w:val="00DF3726"/>
    <w:rsid w:val="00DF391D"/>
    <w:rsid w:val="00DF3E6A"/>
    <w:rsid w:val="00DF3EC3"/>
    <w:rsid w:val="00DF525C"/>
    <w:rsid w:val="00DF539A"/>
    <w:rsid w:val="00DF5884"/>
    <w:rsid w:val="00DF5BEA"/>
    <w:rsid w:val="00DF6033"/>
    <w:rsid w:val="00DF6B7B"/>
    <w:rsid w:val="00DF6C42"/>
    <w:rsid w:val="00DF7D95"/>
    <w:rsid w:val="00E00DC3"/>
    <w:rsid w:val="00E0121A"/>
    <w:rsid w:val="00E02F26"/>
    <w:rsid w:val="00E03CC2"/>
    <w:rsid w:val="00E040F7"/>
    <w:rsid w:val="00E04481"/>
    <w:rsid w:val="00E04EE5"/>
    <w:rsid w:val="00E04F90"/>
    <w:rsid w:val="00E05B70"/>
    <w:rsid w:val="00E05C85"/>
    <w:rsid w:val="00E06D2C"/>
    <w:rsid w:val="00E07195"/>
    <w:rsid w:val="00E074A0"/>
    <w:rsid w:val="00E07638"/>
    <w:rsid w:val="00E07ADE"/>
    <w:rsid w:val="00E10139"/>
    <w:rsid w:val="00E10B83"/>
    <w:rsid w:val="00E112A9"/>
    <w:rsid w:val="00E11720"/>
    <w:rsid w:val="00E11D40"/>
    <w:rsid w:val="00E123C0"/>
    <w:rsid w:val="00E12B7C"/>
    <w:rsid w:val="00E14AF8"/>
    <w:rsid w:val="00E152F4"/>
    <w:rsid w:val="00E17636"/>
    <w:rsid w:val="00E17D96"/>
    <w:rsid w:val="00E204D4"/>
    <w:rsid w:val="00E20758"/>
    <w:rsid w:val="00E217C6"/>
    <w:rsid w:val="00E23017"/>
    <w:rsid w:val="00E23246"/>
    <w:rsid w:val="00E24046"/>
    <w:rsid w:val="00E243BC"/>
    <w:rsid w:val="00E24636"/>
    <w:rsid w:val="00E250A0"/>
    <w:rsid w:val="00E25EE7"/>
    <w:rsid w:val="00E27003"/>
    <w:rsid w:val="00E311E6"/>
    <w:rsid w:val="00E321C1"/>
    <w:rsid w:val="00E32B96"/>
    <w:rsid w:val="00E33EE9"/>
    <w:rsid w:val="00E34020"/>
    <w:rsid w:val="00E34475"/>
    <w:rsid w:val="00E345FE"/>
    <w:rsid w:val="00E347E5"/>
    <w:rsid w:val="00E34866"/>
    <w:rsid w:val="00E3549C"/>
    <w:rsid w:val="00E354FE"/>
    <w:rsid w:val="00E35CB5"/>
    <w:rsid w:val="00E35FFD"/>
    <w:rsid w:val="00E36BCF"/>
    <w:rsid w:val="00E37461"/>
    <w:rsid w:val="00E40491"/>
    <w:rsid w:val="00E40B0B"/>
    <w:rsid w:val="00E41832"/>
    <w:rsid w:val="00E41EF8"/>
    <w:rsid w:val="00E42411"/>
    <w:rsid w:val="00E42BF5"/>
    <w:rsid w:val="00E439E9"/>
    <w:rsid w:val="00E43B6E"/>
    <w:rsid w:val="00E43DAE"/>
    <w:rsid w:val="00E47A91"/>
    <w:rsid w:val="00E52C67"/>
    <w:rsid w:val="00E52E9E"/>
    <w:rsid w:val="00E54E00"/>
    <w:rsid w:val="00E55120"/>
    <w:rsid w:val="00E55604"/>
    <w:rsid w:val="00E55E6C"/>
    <w:rsid w:val="00E601DD"/>
    <w:rsid w:val="00E60E42"/>
    <w:rsid w:val="00E62404"/>
    <w:rsid w:val="00E631AC"/>
    <w:rsid w:val="00E6332A"/>
    <w:rsid w:val="00E64696"/>
    <w:rsid w:val="00E6470D"/>
    <w:rsid w:val="00E6570D"/>
    <w:rsid w:val="00E66F78"/>
    <w:rsid w:val="00E67EB5"/>
    <w:rsid w:val="00E7052A"/>
    <w:rsid w:val="00E72848"/>
    <w:rsid w:val="00E7412A"/>
    <w:rsid w:val="00E744CF"/>
    <w:rsid w:val="00E748FF"/>
    <w:rsid w:val="00E755F3"/>
    <w:rsid w:val="00E75966"/>
    <w:rsid w:val="00E75C1A"/>
    <w:rsid w:val="00E75F38"/>
    <w:rsid w:val="00E762B1"/>
    <w:rsid w:val="00E771F0"/>
    <w:rsid w:val="00E773D1"/>
    <w:rsid w:val="00E80B29"/>
    <w:rsid w:val="00E816F9"/>
    <w:rsid w:val="00E823F0"/>
    <w:rsid w:val="00E91006"/>
    <w:rsid w:val="00E9138B"/>
    <w:rsid w:val="00E91E5A"/>
    <w:rsid w:val="00E931ED"/>
    <w:rsid w:val="00E93329"/>
    <w:rsid w:val="00E9483B"/>
    <w:rsid w:val="00E94A49"/>
    <w:rsid w:val="00E956CD"/>
    <w:rsid w:val="00E9690D"/>
    <w:rsid w:val="00E97979"/>
    <w:rsid w:val="00E97EBC"/>
    <w:rsid w:val="00EA11EE"/>
    <w:rsid w:val="00EA1838"/>
    <w:rsid w:val="00EA2B5A"/>
    <w:rsid w:val="00EA2C0C"/>
    <w:rsid w:val="00EA37A7"/>
    <w:rsid w:val="00EA41FD"/>
    <w:rsid w:val="00EA46AE"/>
    <w:rsid w:val="00EA6085"/>
    <w:rsid w:val="00EA6A63"/>
    <w:rsid w:val="00EA6BEB"/>
    <w:rsid w:val="00EB3C23"/>
    <w:rsid w:val="00EB3E41"/>
    <w:rsid w:val="00EB4DCE"/>
    <w:rsid w:val="00EB55B7"/>
    <w:rsid w:val="00EB6674"/>
    <w:rsid w:val="00EB698B"/>
    <w:rsid w:val="00EC1095"/>
    <w:rsid w:val="00EC13B8"/>
    <w:rsid w:val="00EC2976"/>
    <w:rsid w:val="00EC38AA"/>
    <w:rsid w:val="00EC3CC4"/>
    <w:rsid w:val="00EC4240"/>
    <w:rsid w:val="00EC512E"/>
    <w:rsid w:val="00EC5559"/>
    <w:rsid w:val="00EC5B84"/>
    <w:rsid w:val="00EC5D7F"/>
    <w:rsid w:val="00EC5DB5"/>
    <w:rsid w:val="00EC6A0C"/>
    <w:rsid w:val="00EC7C8B"/>
    <w:rsid w:val="00EC7FB1"/>
    <w:rsid w:val="00ED09CA"/>
    <w:rsid w:val="00ED11B5"/>
    <w:rsid w:val="00ED135A"/>
    <w:rsid w:val="00ED1E61"/>
    <w:rsid w:val="00ED2995"/>
    <w:rsid w:val="00ED2A44"/>
    <w:rsid w:val="00ED3D9F"/>
    <w:rsid w:val="00ED4D9F"/>
    <w:rsid w:val="00ED508A"/>
    <w:rsid w:val="00ED56AB"/>
    <w:rsid w:val="00ED6638"/>
    <w:rsid w:val="00ED6786"/>
    <w:rsid w:val="00ED7676"/>
    <w:rsid w:val="00EE040E"/>
    <w:rsid w:val="00EE074E"/>
    <w:rsid w:val="00EE151A"/>
    <w:rsid w:val="00EE1821"/>
    <w:rsid w:val="00EE1ADD"/>
    <w:rsid w:val="00EE298C"/>
    <w:rsid w:val="00EE36F0"/>
    <w:rsid w:val="00EE3994"/>
    <w:rsid w:val="00EE49FB"/>
    <w:rsid w:val="00EE53D5"/>
    <w:rsid w:val="00EE5742"/>
    <w:rsid w:val="00EE6000"/>
    <w:rsid w:val="00EE6FAB"/>
    <w:rsid w:val="00EE71EC"/>
    <w:rsid w:val="00EE794D"/>
    <w:rsid w:val="00EF0797"/>
    <w:rsid w:val="00EF1064"/>
    <w:rsid w:val="00EF1D80"/>
    <w:rsid w:val="00EF202E"/>
    <w:rsid w:val="00EF2BCD"/>
    <w:rsid w:val="00EF4233"/>
    <w:rsid w:val="00EF55A8"/>
    <w:rsid w:val="00EF5E40"/>
    <w:rsid w:val="00EF6325"/>
    <w:rsid w:val="00EF6606"/>
    <w:rsid w:val="00EF6854"/>
    <w:rsid w:val="00EF73B2"/>
    <w:rsid w:val="00EF770A"/>
    <w:rsid w:val="00F02763"/>
    <w:rsid w:val="00F034E3"/>
    <w:rsid w:val="00F03BF1"/>
    <w:rsid w:val="00F03FFF"/>
    <w:rsid w:val="00F0430B"/>
    <w:rsid w:val="00F04C61"/>
    <w:rsid w:val="00F05BB4"/>
    <w:rsid w:val="00F066A7"/>
    <w:rsid w:val="00F06AE1"/>
    <w:rsid w:val="00F07C96"/>
    <w:rsid w:val="00F101C3"/>
    <w:rsid w:val="00F10B1D"/>
    <w:rsid w:val="00F10BCB"/>
    <w:rsid w:val="00F10BEF"/>
    <w:rsid w:val="00F10FEC"/>
    <w:rsid w:val="00F1187F"/>
    <w:rsid w:val="00F11F43"/>
    <w:rsid w:val="00F12F8A"/>
    <w:rsid w:val="00F134AD"/>
    <w:rsid w:val="00F1354E"/>
    <w:rsid w:val="00F14BAF"/>
    <w:rsid w:val="00F14E1C"/>
    <w:rsid w:val="00F157F8"/>
    <w:rsid w:val="00F17BDE"/>
    <w:rsid w:val="00F17EC5"/>
    <w:rsid w:val="00F202B3"/>
    <w:rsid w:val="00F20AEF"/>
    <w:rsid w:val="00F230FA"/>
    <w:rsid w:val="00F240A5"/>
    <w:rsid w:val="00F24CB0"/>
    <w:rsid w:val="00F25220"/>
    <w:rsid w:val="00F25387"/>
    <w:rsid w:val="00F25928"/>
    <w:rsid w:val="00F2596A"/>
    <w:rsid w:val="00F26B37"/>
    <w:rsid w:val="00F26E6A"/>
    <w:rsid w:val="00F27353"/>
    <w:rsid w:val="00F27FC0"/>
    <w:rsid w:val="00F3018A"/>
    <w:rsid w:val="00F31C78"/>
    <w:rsid w:val="00F32BB3"/>
    <w:rsid w:val="00F33092"/>
    <w:rsid w:val="00F3506D"/>
    <w:rsid w:val="00F35C59"/>
    <w:rsid w:val="00F35F94"/>
    <w:rsid w:val="00F363DB"/>
    <w:rsid w:val="00F364C5"/>
    <w:rsid w:val="00F36BD8"/>
    <w:rsid w:val="00F36DD7"/>
    <w:rsid w:val="00F3750B"/>
    <w:rsid w:val="00F3754B"/>
    <w:rsid w:val="00F40255"/>
    <w:rsid w:val="00F4059E"/>
    <w:rsid w:val="00F40FD1"/>
    <w:rsid w:val="00F416BF"/>
    <w:rsid w:val="00F4189A"/>
    <w:rsid w:val="00F426C1"/>
    <w:rsid w:val="00F427BE"/>
    <w:rsid w:val="00F429E0"/>
    <w:rsid w:val="00F45394"/>
    <w:rsid w:val="00F46ADA"/>
    <w:rsid w:val="00F46BB6"/>
    <w:rsid w:val="00F50124"/>
    <w:rsid w:val="00F5049F"/>
    <w:rsid w:val="00F511B1"/>
    <w:rsid w:val="00F51634"/>
    <w:rsid w:val="00F51AC9"/>
    <w:rsid w:val="00F52E35"/>
    <w:rsid w:val="00F54FE7"/>
    <w:rsid w:val="00F55557"/>
    <w:rsid w:val="00F56774"/>
    <w:rsid w:val="00F5751F"/>
    <w:rsid w:val="00F57523"/>
    <w:rsid w:val="00F6199C"/>
    <w:rsid w:val="00F62692"/>
    <w:rsid w:val="00F63F3B"/>
    <w:rsid w:val="00F6404F"/>
    <w:rsid w:val="00F640D3"/>
    <w:rsid w:val="00F64CE2"/>
    <w:rsid w:val="00F64DEE"/>
    <w:rsid w:val="00F65419"/>
    <w:rsid w:val="00F6587A"/>
    <w:rsid w:val="00F66FC9"/>
    <w:rsid w:val="00F67823"/>
    <w:rsid w:val="00F67C8D"/>
    <w:rsid w:val="00F71275"/>
    <w:rsid w:val="00F717ED"/>
    <w:rsid w:val="00F723CE"/>
    <w:rsid w:val="00F725A8"/>
    <w:rsid w:val="00F72CC7"/>
    <w:rsid w:val="00F73AEC"/>
    <w:rsid w:val="00F75377"/>
    <w:rsid w:val="00F75B14"/>
    <w:rsid w:val="00F75EAB"/>
    <w:rsid w:val="00F76758"/>
    <w:rsid w:val="00F778BF"/>
    <w:rsid w:val="00F7799D"/>
    <w:rsid w:val="00F779A6"/>
    <w:rsid w:val="00F80547"/>
    <w:rsid w:val="00F80B0A"/>
    <w:rsid w:val="00F81134"/>
    <w:rsid w:val="00F8142C"/>
    <w:rsid w:val="00F81869"/>
    <w:rsid w:val="00F827AC"/>
    <w:rsid w:val="00F864B4"/>
    <w:rsid w:val="00F8732B"/>
    <w:rsid w:val="00F876EF"/>
    <w:rsid w:val="00F87972"/>
    <w:rsid w:val="00F91368"/>
    <w:rsid w:val="00F92861"/>
    <w:rsid w:val="00F92EAA"/>
    <w:rsid w:val="00F93987"/>
    <w:rsid w:val="00F93C64"/>
    <w:rsid w:val="00F94044"/>
    <w:rsid w:val="00F94860"/>
    <w:rsid w:val="00F94908"/>
    <w:rsid w:val="00F960B6"/>
    <w:rsid w:val="00F967EE"/>
    <w:rsid w:val="00F97037"/>
    <w:rsid w:val="00F97345"/>
    <w:rsid w:val="00FA1108"/>
    <w:rsid w:val="00FA2BB0"/>
    <w:rsid w:val="00FA3393"/>
    <w:rsid w:val="00FA3F07"/>
    <w:rsid w:val="00FA54B4"/>
    <w:rsid w:val="00FA576B"/>
    <w:rsid w:val="00FA5F4B"/>
    <w:rsid w:val="00FA6358"/>
    <w:rsid w:val="00FA6455"/>
    <w:rsid w:val="00FA752C"/>
    <w:rsid w:val="00FA7A91"/>
    <w:rsid w:val="00FB0A8C"/>
    <w:rsid w:val="00FB0D67"/>
    <w:rsid w:val="00FB2DC6"/>
    <w:rsid w:val="00FB2F6E"/>
    <w:rsid w:val="00FB32AB"/>
    <w:rsid w:val="00FB35CD"/>
    <w:rsid w:val="00FB4D34"/>
    <w:rsid w:val="00FB553C"/>
    <w:rsid w:val="00FB5AC8"/>
    <w:rsid w:val="00FB614E"/>
    <w:rsid w:val="00FB673D"/>
    <w:rsid w:val="00FC0190"/>
    <w:rsid w:val="00FC097B"/>
    <w:rsid w:val="00FC0D8D"/>
    <w:rsid w:val="00FC172C"/>
    <w:rsid w:val="00FC247E"/>
    <w:rsid w:val="00FC45E5"/>
    <w:rsid w:val="00FC4807"/>
    <w:rsid w:val="00FC53A6"/>
    <w:rsid w:val="00FC5566"/>
    <w:rsid w:val="00FD014C"/>
    <w:rsid w:val="00FD05EE"/>
    <w:rsid w:val="00FD1635"/>
    <w:rsid w:val="00FD1EF9"/>
    <w:rsid w:val="00FD20F8"/>
    <w:rsid w:val="00FD274F"/>
    <w:rsid w:val="00FD2BD2"/>
    <w:rsid w:val="00FD3393"/>
    <w:rsid w:val="00FD36AD"/>
    <w:rsid w:val="00FD3CC2"/>
    <w:rsid w:val="00FD3D3F"/>
    <w:rsid w:val="00FD3FAB"/>
    <w:rsid w:val="00FD4AE5"/>
    <w:rsid w:val="00FD4BC7"/>
    <w:rsid w:val="00FD5E9D"/>
    <w:rsid w:val="00FD627F"/>
    <w:rsid w:val="00FD654C"/>
    <w:rsid w:val="00FD7A00"/>
    <w:rsid w:val="00FD7D42"/>
    <w:rsid w:val="00FD7E32"/>
    <w:rsid w:val="00FE1E23"/>
    <w:rsid w:val="00FE24C0"/>
    <w:rsid w:val="00FE3F01"/>
    <w:rsid w:val="00FE406D"/>
    <w:rsid w:val="00FE4BBD"/>
    <w:rsid w:val="00FE5BC0"/>
    <w:rsid w:val="00FE672B"/>
    <w:rsid w:val="00FE7EA7"/>
    <w:rsid w:val="00FF0D5C"/>
    <w:rsid w:val="00FF192E"/>
    <w:rsid w:val="00FF21F0"/>
    <w:rsid w:val="00FF40C5"/>
    <w:rsid w:val="00FF5100"/>
    <w:rsid w:val="00FF529A"/>
    <w:rsid w:val="00FF57D2"/>
    <w:rsid w:val="00FF5A0B"/>
    <w:rsid w:val="00FF5A7A"/>
    <w:rsid w:val="00FF5F4C"/>
    <w:rsid w:val="00FF7C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8490A4-66F2-44B5-AC0E-0A9CC6133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E0D"/>
    <w:pPr>
      <w:spacing w:after="0" w:line="360" w:lineRule="auto"/>
      <w:jc w:val="both"/>
    </w:pPr>
  </w:style>
  <w:style w:type="paragraph" w:styleId="Ttulo1">
    <w:name w:val="heading 1"/>
    <w:basedOn w:val="Prrafodelista"/>
    <w:next w:val="Normal"/>
    <w:link w:val="Ttulo1Car"/>
    <w:autoRedefine/>
    <w:uiPriority w:val="9"/>
    <w:qFormat/>
    <w:rsid w:val="003D44B7"/>
    <w:pPr>
      <w:numPr>
        <w:numId w:val="87"/>
      </w:numPr>
      <w:jc w:val="center"/>
      <w:outlineLvl w:val="0"/>
    </w:pPr>
    <w:rPr>
      <w:rFonts w:cs="Arial"/>
      <w:b/>
      <w:sz w:val="22"/>
      <w:lang w:eastAsia="es-CO"/>
    </w:rPr>
  </w:style>
  <w:style w:type="paragraph" w:styleId="Ttulo2">
    <w:name w:val="heading 2"/>
    <w:basedOn w:val="Prrafodelista"/>
    <w:next w:val="Normal"/>
    <w:link w:val="Ttulo2Car"/>
    <w:autoRedefine/>
    <w:uiPriority w:val="9"/>
    <w:unhideWhenUsed/>
    <w:qFormat/>
    <w:rsid w:val="00EA6BEB"/>
    <w:pPr>
      <w:ind w:left="426" w:hanging="405"/>
      <w:outlineLvl w:val="1"/>
    </w:pPr>
    <w:rPr>
      <w:rFonts w:cs="Arial"/>
      <w:b/>
      <w:sz w:val="22"/>
      <w:lang w:eastAsia="es-CO"/>
    </w:rPr>
  </w:style>
  <w:style w:type="paragraph" w:styleId="Ttulo3">
    <w:name w:val="heading 3"/>
    <w:basedOn w:val="Ttulo2"/>
    <w:next w:val="Normal"/>
    <w:link w:val="Ttulo3Car"/>
    <w:uiPriority w:val="9"/>
    <w:unhideWhenUsed/>
    <w:qFormat/>
    <w:rsid w:val="007F04B1"/>
    <w:pPr>
      <w:numPr>
        <w:ilvl w:val="2"/>
      </w:numPr>
      <w:ind w:left="426" w:hanging="405"/>
      <w:outlineLvl w:val="2"/>
    </w:pPr>
  </w:style>
  <w:style w:type="paragraph" w:styleId="Ttulo4">
    <w:name w:val="heading 4"/>
    <w:basedOn w:val="Normal"/>
    <w:next w:val="Normal"/>
    <w:link w:val="Ttulo4Car"/>
    <w:uiPriority w:val="9"/>
    <w:unhideWhenUsed/>
    <w:qFormat/>
    <w:rsid w:val="0012708C"/>
    <w:pPr>
      <w:outlineLvl w:val="3"/>
    </w:pPr>
    <w:rPr>
      <w:rFonts w:cs="Arial"/>
      <w:b/>
      <w:szCs w:val="20"/>
    </w:rPr>
  </w:style>
  <w:style w:type="paragraph" w:styleId="Ttulo5">
    <w:name w:val="heading 5"/>
    <w:basedOn w:val="Ttulo4"/>
    <w:next w:val="Normal"/>
    <w:link w:val="Ttulo5Car"/>
    <w:uiPriority w:val="9"/>
    <w:unhideWhenUsed/>
    <w:qFormat/>
    <w:rsid w:val="007E3275"/>
    <w:pPr>
      <w:outlineLvl w:val="4"/>
    </w:pPr>
    <w:rPr>
      <w:i/>
      <w:lang w:val="es-MX"/>
    </w:rPr>
  </w:style>
  <w:style w:type="paragraph" w:styleId="Ttulo6">
    <w:name w:val="heading 6"/>
    <w:basedOn w:val="Normal"/>
    <w:next w:val="Normal"/>
    <w:link w:val="Ttulo6Car"/>
    <w:uiPriority w:val="9"/>
    <w:semiHidden/>
    <w:unhideWhenUsed/>
    <w:qFormat/>
    <w:rsid w:val="00AB40A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0421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4B7"/>
    <w:rPr>
      <w:rFonts w:cs="Arial"/>
      <w:b/>
      <w:sz w:val="22"/>
      <w:lang w:eastAsia="es-CO"/>
    </w:rPr>
  </w:style>
  <w:style w:type="character" w:customStyle="1" w:styleId="Ttulo2Car">
    <w:name w:val="Título 2 Car"/>
    <w:basedOn w:val="Fuentedeprrafopredeter"/>
    <w:link w:val="Ttulo2"/>
    <w:uiPriority w:val="9"/>
    <w:rsid w:val="00EA6BEB"/>
    <w:rPr>
      <w:rFonts w:cs="Arial"/>
      <w:b/>
      <w:sz w:val="22"/>
      <w:lang w:eastAsia="es-CO"/>
    </w:rPr>
  </w:style>
  <w:style w:type="paragraph" w:styleId="TtulodeTDC">
    <w:name w:val="TOC Heading"/>
    <w:basedOn w:val="Ttulo1"/>
    <w:next w:val="Normal"/>
    <w:uiPriority w:val="39"/>
    <w:unhideWhenUsed/>
    <w:qFormat/>
    <w:rsid w:val="00CB33F5"/>
    <w:pPr>
      <w:outlineLvl w:val="9"/>
    </w:pPr>
  </w:style>
  <w:style w:type="paragraph" w:customStyle="1" w:styleId="TITULOT">
    <w:name w:val="TITULO T"/>
    <w:basedOn w:val="Normal"/>
    <w:link w:val="TITULOTCar"/>
    <w:qFormat/>
    <w:rsid w:val="00CB33F5"/>
    <w:pPr>
      <w:jc w:val="center"/>
    </w:pPr>
    <w:rPr>
      <w:lang w:val="es-CO"/>
    </w:rPr>
  </w:style>
  <w:style w:type="character" w:customStyle="1" w:styleId="TITULOTCar">
    <w:name w:val="TITULO T Car"/>
    <w:basedOn w:val="Fuentedeprrafopredeter"/>
    <w:link w:val="TITULOT"/>
    <w:rsid w:val="00CB33F5"/>
    <w:rPr>
      <w:lang w:val="es-CO"/>
    </w:rPr>
  </w:style>
  <w:style w:type="paragraph" w:customStyle="1" w:styleId="TITULOSTE">
    <w:name w:val="TITULOS TE"/>
    <w:basedOn w:val="TITULOT"/>
    <w:link w:val="TITULOSTECar"/>
    <w:qFormat/>
    <w:rsid w:val="00CB33F5"/>
    <w:pPr>
      <w:numPr>
        <w:numId w:val="1"/>
      </w:numPr>
    </w:pPr>
  </w:style>
  <w:style w:type="character" w:customStyle="1" w:styleId="TITULOSTECar">
    <w:name w:val="TITULOS TE Car"/>
    <w:basedOn w:val="TITULOTCar"/>
    <w:link w:val="TITULOSTE"/>
    <w:rsid w:val="00CB33F5"/>
    <w:rPr>
      <w:lang w:val="es-CO"/>
    </w:rPr>
  </w:style>
  <w:style w:type="paragraph" w:styleId="Prrafodelista">
    <w:name w:val="List Paragraph"/>
    <w:aliases w:val="Normal 3,Bolita,Párrafo de lista21,BOLA,List Paragraph,Segundo nivel de viñetas,List Paragraph1,titulo 3,List Paragraph 1,Ha,HOJA,Párrafo de lista4,BOLADEF,Párrafo de lista3,Nivel 1 OS,List Paragraph (numbered (a)),Bullets,Guión"/>
    <w:basedOn w:val="Normal"/>
    <w:link w:val="PrrafodelistaCar"/>
    <w:uiPriority w:val="34"/>
    <w:qFormat/>
    <w:rsid w:val="003D2C42"/>
    <w:pPr>
      <w:ind w:left="720"/>
      <w:contextualSpacing/>
    </w:pPr>
  </w:style>
  <w:style w:type="paragraph" w:customStyle="1" w:styleId="Seccin">
    <w:name w:val="Sección"/>
    <w:basedOn w:val="Normal"/>
    <w:rsid w:val="00F10BEF"/>
    <w:pPr>
      <w:tabs>
        <w:tab w:val="left" w:pos="240"/>
      </w:tabs>
      <w:spacing w:after="227" w:line="240" w:lineRule="auto"/>
    </w:pPr>
    <w:rPr>
      <w:rFonts w:ascii="Book Antiqua" w:eastAsia="Times New Roman" w:hAnsi="Book Antiqua" w:cs="Times New Roman"/>
      <w:b/>
      <w:snapToGrid w:val="0"/>
      <w:sz w:val="40"/>
      <w:szCs w:val="20"/>
      <w:lang w:eastAsia="es-ES"/>
    </w:rPr>
  </w:style>
  <w:style w:type="paragraph" w:customStyle="1" w:styleId="Texto1">
    <w:name w:val="Texto1"/>
    <w:basedOn w:val="Normal"/>
    <w:rsid w:val="00F10BEF"/>
    <w:pPr>
      <w:tabs>
        <w:tab w:val="left" w:pos="240"/>
      </w:tabs>
      <w:spacing w:before="113" w:line="240" w:lineRule="auto"/>
    </w:pPr>
    <w:rPr>
      <w:rFonts w:ascii="Book Antiqua" w:eastAsia="Times New Roman" w:hAnsi="Book Antiqua" w:cs="Times New Roman"/>
      <w:snapToGrid w:val="0"/>
      <w:sz w:val="22"/>
      <w:szCs w:val="20"/>
      <w:lang w:eastAsia="es-ES"/>
    </w:rPr>
  </w:style>
  <w:style w:type="character" w:customStyle="1" w:styleId="Ttulo3Car">
    <w:name w:val="Título 3 Car"/>
    <w:basedOn w:val="Fuentedeprrafopredeter"/>
    <w:link w:val="Ttulo3"/>
    <w:uiPriority w:val="9"/>
    <w:rsid w:val="007F04B1"/>
    <w:rPr>
      <w:rFonts w:cs="Arial"/>
      <w:b/>
      <w:sz w:val="22"/>
      <w:lang w:eastAsia="es-CO"/>
    </w:rPr>
  </w:style>
  <w:style w:type="character" w:customStyle="1" w:styleId="Ttulo4Car">
    <w:name w:val="Título 4 Car"/>
    <w:basedOn w:val="Fuentedeprrafopredeter"/>
    <w:link w:val="Ttulo4"/>
    <w:uiPriority w:val="9"/>
    <w:rsid w:val="0012708C"/>
    <w:rPr>
      <w:rFonts w:cs="Arial"/>
      <w:b/>
      <w:szCs w:val="20"/>
    </w:rPr>
  </w:style>
  <w:style w:type="paragraph" w:styleId="TDC1">
    <w:name w:val="toc 1"/>
    <w:basedOn w:val="Normal"/>
    <w:next w:val="Normal"/>
    <w:autoRedefine/>
    <w:uiPriority w:val="39"/>
    <w:unhideWhenUsed/>
    <w:rsid w:val="006B55B2"/>
    <w:pPr>
      <w:spacing w:before="120"/>
    </w:pPr>
    <w:rPr>
      <w:rFonts w:asciiTheme="minorHAnsi" w:hAnsiTheme="minorHAnsi"/>
      <w:b/>
      <w:bCs/>
      <w:i/>
      <w:iCs/>
      <w:szCs w:val="24"/>
    </w:rPr>
  </w:style>
  <w:style w:type="paragraph" w:styleId="TDC2">
    <w:name w:val="toc 2"/>
    <w:basedOn w:val="Normal"/>
    <w:next w:val="Normal"/>
    <w:autoRedefine/>
    <w:uiPriority w:val="39"/>
    <w:unhideWhenUsed/>
    <w:rsid w:val="00206E9F"/>
    <w:pPr>
      <w:tabs>
        <w:tab w:val="left" w:pos="960"/>
        <w:tab w:val="right" w:leader="dot" w:pos="8494"/>
      </w:tabs>
    </w:pPr>
    <w:rPr>
      <w:rFonts w:asciiTheme="minorHAnsi" w:hAnsiTheme="minorHAnsi"/>
      <w:b/>
      <w:bCs/>
      <w:sz w:val="22"/>
    </w:rPr>
  </w:style>
  <w:style w:type="paragraph" w:styleId="TDC3">
    <w:name w:val="toc 3"/>
    <w:basedOn w:val="Normal"/>
    <w:next w:val="Normal"/>
    <w:autoRedefine/>
    <w:uiPriority w:val="39"/>
    <w:unhideWhenUsed/>
    <w:rsid w:val="00B10BC9"/>
    <w:pPr>
      <w:tabs>
        <w:tab w:val="left" w:pos="0"/>
        <w:tab w:val="right" w:leader="dot" w:pos="8494"/>
      </w:tabs>
      <w:ind w:left="993" w:hanging="993"/>
    </w:pPr>
    <w:rPr>
      <w:rFonts w:asciiTheme="minorHAnsi" w:hAnsiTheme="minorHAnsi"/>
      <w:sz w:val="20"/>
      <w:szCs w:val="20"/>
    </w:rPr>
  </w:style>
  <w:style w:type="paragraph" w:styleId="TDC4">
    <w:name w:val="toc 4"/>
    <w:basedOn w:val="Normal"/>
    <w:next w:val="Normal"/>
    <w:autoRedefine/>
    <w:uiPriority w:val="39"/>
    <w:unhideWhenUsed/>
    <w:rsid w:val="006B55B2"/>
    <w:pPr>
      <w:ind w:left="720"/>
    </w:pPr>
    <w:rPr>
      <w:rFonts w:asciiTheme="minorHAnsi" w:hAnsiTheme="minorHAnsi"/>
      <w:sz w:val="20"/>
      <w:szCs w:val="20"/>
    </w:rPr>
  </w:style>
  <w:style w:type="paragraph" w:styleId="TDC5">
    <w:name w:val="toc 5"/>
    <w:basedOn w:val="Normal"/>
    <w:next w:val="Normal"/>
    <w:autoRedefine/>
    <w:uiPriority w:val="39"/>
    <w:unhideWhenUsed/>
    <w:rsid w:val="006B55B2"/>
    <w:pPr>
      <w:ind w:left="960"/>
    </w:pPr>
    <w:rPr>
      <w:rFonts w:asciiTheme="minorHAnsi" w:hAnsiTheme="minorHAnsi"/>
      <w:sz w:val="20"/>
      <w:szCs w:val="20"/>
    </w:rPr>
  </w:style>
  <w:style w:type="paragraph" w:styleId="TDC6">
    <w:name w:val="toc 6"/>
    <w:basedOn w:val="Normal"/>
    <w:next w:val="Normal"/>
    <w:autoRedefine/>
    <w:uiPriority w:val="39"/>
    <w:unhideWhenUsed/>
    <w:rsid w:val="006B55B2"/>
    <w:pPr>
      <w:ind w:left="1200"/>
    </w:pPr>
    <w:rPr>
      <w:rFonts w:asciiTheme="minorHAnsi" w:hAnsiTheme="minorHAnsi"/>
      <w:sz w:val="20"/>
      <w:szCs w:val="20"/>
    </w:rPr>
  </w:style>
  <w:style w:type="paragraph" w:styleId="TDC7">
    <w:name w:val="toc 7"/>
    <w:basedOn w:val="Normal"/>
    <w:next w:val="Normal"/>
    <w:autoRedefine/>
    <w:uiPriority w:val="39"/>
    <w:unhideWhenUsed/>
    <w:rsid w:val="006B55B2"/>
    <w:pPr>
      <w:ind w:left="1440"/>
    </w:pPr>
    <w:rPr>
      <w:rFonts w:asciiTheme="minorHAnsi" w:hAnsiTheme="minorHAnsi"/>
      <w:sz w:val="20"/>
      <w:szCs w:val="20"/>
    </w:rPr>
  </w:style>
  <w:style w:type="paragraph" w:styleId="TDC8">
    <w:name w:val="toc 8"/>
    <w:basedOn w:val="Normal"/>
    <w:next w:val="Normal"/>
    <w:autoRedefine/>
    <w:uiPriority w:val="39"/>
    <w:unhideWhenUsed/>
    <w:rsid w:val="006B55B2"/>
    <w:pPr>
      <w:ind w:left="1680"/>
    </w:pPr>
    <w:rPr>
      <w:rFonts w:asciiTheme="minorHAnsi" w:hAnsiTheme="minorHAnsi"/>
      <w:sz w:val="20"/>
      <w:szCs w:val="20"/>
    </w:rPr>
  </w:style>
  <w:style w:type="paragraph" w:styleId="TDC9">
    <w:name w:val="toc 9"/>
    <w:basedOn w:val="Normal"/>
    <w:next w:val="Normal"/>
    <w:autoRedefine/>
    <w:uiPriority w:val="39"/>
    <w:unhideWhenUsed/>
    <w:rsid w:val="006B55B2"/>
    <w:pPr>
      <w:ind w:left="1920"/>
    </w:pPr>
    <w:rPr>
      <w:rFonts w:asciiTheme="minorHAnsi" w:hAnsiTheme="minorHAnsi"/>
      <w:sz w:val="20"/>
      <w:szCs w:val="20"/>
    </w:rPr>
  </w:style>
  <w:style w:type="character" w:styleId="Hipervnculo">
    <w:name w:val="Hyperlink"/>
    <w:basedOn w:val="Fuentedeprrafopredeter"/>
    <w:uiPriority w:val="99"/>
    <w:unhideWhenUsed/>
    <w:rsid w:val="006B55B2"/>
    <w:rPr>
      <w:color w:val="0000FF" w:themeColor="hyperlink"/>
      <w:u w:val="single"/>
    </w:rPr>
  </w:style>
  <w:style w:type="paragraph" w:customStyle="1" w:styleId="Prrafodelista1">
    <w:name w:val="Párrafo de lista1"/>
    <w:basedOn w:val="Normal"/>
    <w:rsid w:val="00262B80"/>
    <w:pPr>
      <w:ind w:left="720"/>
      <w:contextualSpacing/>
    </w:pPr>
    <w:rPr>
      <w:rFonts w:ascii="Calibri" w:eastAsia="Times New Roman" w:hAnsi="Calibri" w:cs="Times New Roman"/>
      <w:sz w:val="22"/>
      <w:lang w:val="es-CO"/>
    </w:rPr>
  </w:style>
  <w:style w:type="paragraph" w:styleId="Textodeglobo">
    <w:name w:val="Balloon Text"/>
    <w:basedOn w:val="Normal"/>
    <w:link w:val="TextodegloboCar"/>
    <w:uiPriority w:val="99"/>
    <w:semiHidden/>
    <w:unhideWhenUsed/>
    <w:rsid w:val="00262B8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B80"/>
    <w:rPr>
      <w:rFonts w:ascii="Tahoma" w:hAnsi="Tahoma" w:cs="Tahoma"/>
      <w:sz w:val="16"/>
      <w:szCs w:val="16"/>
    </w:rPr>
  </w:style>
  <w:style w:type="paragraph" w:styleId="Textoindependiente">
    <w:name w:val="Body Text"/>
    <w:basedOn w:val="Normal"/>
    <w:link w:val="TextoindependienteCar"/>
    <w:rsid w:val="00262B80"/>
    <w:pPr>
      <w:widowControl w:val="0"/>
      <w:spacing w:line="240" w:lineRule="auto"/>
    </w:pPr>
    <w:rPr>
      <w:rFonts w:ascii="Times New Roman" w:eastAsia="Times New Roman" w:hAnsi="Times New Roman" w:cs="Times New Roman"/>
      <w:snapToGrid w:val="0"/>
      <w:szCs w:val="20"/>
      <w:lang w:eastAsia="es-ES"/>
    </w:rPr>
  </w:style>
  <w:style w:type="character" w:customStyle="1" w:styleId="TextoindependienteCar">
    <w:name w:val="Texto independiente Car"/>
    <w:basedOn w:val="Fuentedeprrafopredeter"/>
    <w:link w:val="Textoindependiente"/>
    <w:rsid w:val="00262B80"/>
    <w:rPr>
      <w:rFonts w:ascii="Times New Roman" w:eastAsia="Times New Roman" w:hAnsi="Times New Roman" w:cs="Times New Roman"/>
      <w:snapToGrid w:val="0"/>
      <w:szCs w:val="20"/>
      <w:lang w:eastAsia="es-ES"/>
    </w:rPr>
  </w:style>
  <w:style w:type="paragraph" w:styleId="Sinespaciado">
    <w:name w:val="No Spacing"/>
    <w:uiPriority w:val="1"/>
    <w:qFormat/>
    <w:rsid w:val="00262B80"/>
    <w:pPr>
      <w:spacing w:after="0" w:line="240" w:lineRule="auto"/>
    </w:pPr>
    <w:rPr>
      <w:rFonts w:ascii="Calibri" w:eastAsia="Calibri" w:hAnsi="Calibri" w:cs="Times New Roman"/>
      <w:sz w:val="22"/>
    </w:rPr>
  </w:style>
  <w:style w:type="character" w:customStyle="1" w:styleId="Ttulo5Car">
    <w:name w:val="Título 5 Car"/>
    <w:basedOn w:val="Fuentedeprrafopredeter"/>
    <w:link w:val="Ttulo5"/>
    <w:uiPriority w:val="9"/>
    <w:rsid w:val="007E3275"/>
    <w:rPr>
      <w:rFonts w:cs="Arial"/>
      <w:b/>
      <w:i/>
      <w:szCs w:val="20"/>
      <w:lang w:val="es-MX"/>
    </w:rPr>
  </w:style>
  <w:style w:type="character" w:customStyle="1" w:styleId="Ttulo7Car">
    <w:name w:val="Título 7 Car"/>
    <w:basedOn w:val="Fuentedeprrafopredeter"/>
    <w:link w:val="Ttulo7"/>
    <w:uiPriority w:val="9"/>
    <w:semiHidden/>
    <w:rsid w:val="00004217"/>
    <w:rPr>
      <w:rFonts w:asciiTheme="majorHAnsi" w:eastAsiaTheme="majorEastAsia" w:hAnsiTheme="majorHAnsi" w:cstheme="majorBidi"/>
      <w:i/>
      <w:iCs/>
      <w:color w:val="404040" w:themeColor="text1" w:themeTint="BF"/>
    </w:rPr>
  </w:style>
  <w:style w:type="paragraph" w:styleId="Textoindependiente2">
    <w:name w:val="Body Text 2"/>
    <w:basedOn w:val="Normal"/>
    <w:link w:val="Textoindependiente2Car"/>
    <w:uiPriority w:val="99"/>
    <w:semiHidden/>
    <w:unhideWhenUsed/>
    <w:rsid w:val="00004217"/>
    <w:pPr>
      <w:spacing w:after="120" w:line="480" w:lineRule="auto"/>
    </w:pPr>
  </w:style>
  <w:style w:type="character" w:customStyle="1" w:styleId="Textoindependiente2Car">
    <w:name w:val="Texto independiente 2 Car"/>
    <w:basedOn w:val="Fuentedeprrafopredeter"/>
    <w:link w:val="Textoindependiente2"/>
    <w:uiPriority w:val="99"/>
    <w:semiHidden/>
    <w:rsid w:val="00004217"/>
  </w:style>
  <w:style w:type="paragraph" w:styleId="NormalWeb">
    <w:name w:val="Normal (Web)"/>
    <w:basedOn w:val="Normal"/>
    <w:uiPriority w:val="99"/>
    <w:unhideWhenUsed/>
    <w:rsid w:val="00004217"/>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Textoindependiente21">
    <w:name w:val="Texto independiente 21"/>
    <w:basedOn w:val="Normal"/>
    <w:rsid w:val="00004217"/>
    <w:pPr>
      <w:spacing w:line="240" w:lineRule="auto"/>
    </w:pPr>
    <w:rPr>
      <w:rFonts w:eastAsia="Times New Roman" w:cs="Times New Roman"/>
      <w:szCs w:val="20"/>
      <w:lang w:val="es-ES_tradnl" w:eastAsia="es-ES"/>
    </w:rPr>
  </w:style>
  <w:style w:type="paragraph" w:styleId="Sangra2detindependiente">
    <w:name w:val="Body Text Indent 2"/>
    <w:basedOn w:val="Normal"/>
    <w:link w:val="Sangra2detindependienteCar"/>
    <w:uiPriority w:val="99"/>
    <w:semiHidden/>
    <w:unhideWhenUsed/>
    <w:rsid w:val="00004217"/>
    <w:pPr>
      <w:spacing w:after="120" w:line="480" w:lineRule="auto"/>
      <w:ind w:left="283"/>
    </w:pPr>
    <w:rPr>
      <w:rFonts w:ascii="Calibri" w:eastAsia="Calibri" w:hAnsi="Calibri" w:cs="Times New Roman"/>
      <w:sz w:val="22"/>
      <w:lang w:val="es-CO"/>
    </w:rPr>
  </w:style>
  <w:style w:type="character" w:customStyle="1" w:styleId="Sangra2detindependienteCar">
    <w:name w:val="Sangría 2 de t. independiente Car"/>
    <w:basedOn w:val="Fuentedeprrafopredeter"/>
    <w:link w:val="Sangra2detindependiente"/>
    <w:uiPriority w:val="99"/>
    <w:semiHidden/>
    <w:rsid w:val="00004217"/>
    <w:rPr>
      <w:rFonts w:ascii="Calibri" w:eastAsia="Calibri" w:hAnsi="Calibri" w:cs="Times New Roman"/>
      <w:sz w:val="22"/>
      <w:lang w:val="es-CO"/>
    </w:rPr>
  </w:style>
  <w:style w:type="paragraph" w:customStyle="1" w:styleId="Default">
    <w:name w:val="Default"/>
    <w:rsid w:val="00004217"/>
    <w:pPr>
      <w:autoSpaceDE w:val="0"/>
      <w:autoSpaceDN w:val="0"/>
      <w:adjustRightInd w:val="0"/>
      <w:spacing w:after="0" w:line="240" w:lineRule="auto"/>
    </w:pPr>
    <w:rPr>
      <w:rFonts w:eastAsia="Calibri" w:cs="Arial"/>
      <w:color w:val="000000"/>
      <w:szCs w:val="24"/>
      <w:lang w:val="es-CO" w:eastAsia="es-CO"/>
    </w:rPr>
  </w:style>
  <w:style w:type="paragraph" w:styleId="Textonotapie">
    <w:name w:val="footnote text"/>
    <w:aliases w:val="ft,Car Car Car Car,Fußnotentext Char,Char,Footnote Text Char,Char Car,texto de nota al pie,Texto nota pie Car Car Car Car Car Car Car Car,Texto nota pie Car Car Car,fn,Footnote Text Char Char Char Char Char Char,Texto nota pie Car1,f"/>
    <w:basedOn w:val="Normal"/>
    <w:link w:val="TextonotapieCar"/>
    <w:uiPriority w:val="99"/>
    <w:unhideWhenUsed/>
    <w:qFormat/>
    <w:rsid w:val="00004217"/>
    <w:pPr>
      <w:spacing w:line="240" w:lineRule="auto"/>
    </w:pPr>
    <w:rPr>
      <w:rFonts w:ascii="Calibri" w:eastAsia="Calibri" w:hAnsi="Calibri" w:cs="Times New Roman"/>
      <w:sz w:val="20"/>
      <w:szCs w:val="20"/>
      <w:lang w:val="es-CO"/>
    </w:rPr>
  </w:style>
  <w:style w:type="character" w:customStyle="1" w:styleId="TextonotapieCar">
    <w:name w:val="Texto nota pie Car"/>
    <w:aliases w:val="ft Car,Car Car Car Car Car,Fußnotentext Char Car,Char Car1,Footnote Text Char Car,Char Car Car,texto de nota al pie Car,Texto nota pie Car Car Car Car Car Car Car Car Car,Texto nota pie Car Car Car Car,fn Car,Texto nota pie Car1 Car"/>
    <w:basedOn w:val="Fuentedeprrafopredeter"/>
    <w:link w:val="Textonotapie"/>
    <w:uiPriority w:val="99"/>
    <w:rsid w:val="00004217"/>
    <w:rPr>
      <w:rFonts w:ascii="Calibri" w:eastAsia="Calibri" w:hAnsi="Calibri" w:cs="Times New Roman"/>
      <w:sz w:val="20"/>
      <w:szCs w:val="20"/>
      <w:lang w:val="es-CO"/>
    </w:rPr>
  </w:style>
  <w:style w:type="character" w:styleId="Refdenotaalpie">
    <w:name w:val="footnote reference"/>
    <w:aliases w:val="referencia nota al pie,Footnote symbol,Footnote,FC,Texto de nota al pie,BVI fnr,Ref. de nota al pie2,Nota de pie,Ref,de nota al pie,Pie de pagina,Texto nota al pie,Appel note de bas de p,de nota al pi,Massilia Footnote Reference,Ref1"/>
    <w:uiPriority w:val="99"/>
    <w:rsid w:val="00004217"/>
    <w:rPr>
      <w:vertAlign w:val="superscript"/>
    </w:rPr>
  </w:style>
  <w:style w:type="paragraph" w:styleId="Descripcin">
    <w:name w:val="caption"/>
    <w:basedOn w:val="Normal"/>
    <w:next w:val="Normal"/>
    <w:link w:val="DescripcinCar"/>
    <w:uiPriority w:val="35"/>
    <w:unhideWhenUsed/>
    <w:qFormat/>
    <w:rsid w:val="00326AF1"/>
    <w:pPr>
      <w:spacing w:line="240" w:lineRule="auto"/>
    </w:pPr>
    <w:rPr>
      <w:b/>
      <w:bCs/>
      <w:color w:val="4F81BD" w:themeColor="accent1"/>
      <w:sz w:val="18"/>
      <w:szCs w:val="18"/>
    </w:rPr>
  </w:style>
  <w:style w:type="paragraph" w:customStyle="1" w:styleId="TituodeTablas">
    <w:name w:val="Tituo deTablas"/>
    <w:basedOn w:val="Descripcin"/>
    <w:link w:val="TituodeTablasCar"/>
    <w:qFormat/>
    <w:rsid w:val="00E816F9"/>
    <w:pPr>
      <w:keepNext/>
      <w:jc w:val="center"/>
    </w:pPr>
    <w:rPr>
      <w:color w:val="auto"/>
      <w:sz w:val="24"/>
      <w:szCs w:val="24"/>
    </w:rPr>
  </w:style>
  <w:style w:type="paragraph" w:styleId="Encabezado">
    <w:name w:val="header"/>
    <w:aliases w:val="encabezado,Encabezado1,para doc. Metro,h,h8,h9,h10,h18"/>
    <w:basedOn w:val="Normal"/>
    <w:link w:val="EncabezadoCar"/>
    <w:unhideWhenUsed/>
    <w:rsid w:val="00FD014C"/>
    <w:pPr>
      <w:tabs>
        <w:tab w:val="center" w:pos="4252"/>
        <w:tab w:val="right" w:pos="8504"/>
      </w:tabs>
      <w:spacing w:line="240" w:lineRule="auto"/>
    </w:pPr>
  </w:style>
  <w:style w:type="character" w:customStyle="1" w:styleId="DescripcinCar">
    <w:name w:val="Descripción Car"/>
    <w:basedOn w:val="Fuentedeprrafopredeter"/>
    <w:link w:val="Descripcin"/>
    <w:uiPriority w:val="35"/>
    <w:rsid w:val="00725F87"/>
    <w:rPr>
      <w:b/>
      <w:bCs/>
      <w:color w:val="4F81BD" w:themeColor="accent1"/>
      <w:sz w:val="18"/>
      <w:szCs w:val="18"/>
    </w:rPr>
  </w:style>
  <w:style w:type="character" w:customStyle="1" w:styleId="TituodeTablasCar">
    <w:name w:val="Tituo deTablas Car"/>
    <w:basedOn w:val="DescripcinCar"/>
    <w:link w:val="TituodeTablas"/>
    <w:rsid w:val="00E816F9"/>
    <w:rPr>
      <w:b/>
      <w:bCs/>
      <w:color w:val="4F81BD" w:themeColor="accent1"/>
      <w:sz w:val="18"/>
      <w:szCs w:val="24"/>
    </w:rPr>
  </w:style>
  <w:style w:type="character" w:customStyle="1" w:styleId="EncabezadoCar">
    <w:name w:val="Encabezado Car"/>
    <w:aliases w:val="encabezado Car,Encabezado1 Car,para doc. Metro Car,h Car,h8 Car,h9 Car,h10 Car,h18 Car"/>
    <w:basedOn w:val="Fuentedeprrafopredeter"/>
    <w:link w:val="Encabezado"/>
    <w:rsid w:val="00FD014C"/>
  </w:style>
  <w:style w:type="paragraph" w:styleId="Piedepgina">
    <w:name w:val="footer"/>
    <w:basedOn w:val="Normal"/>
    <w:link w:val="PiedepginaCar"/>
    <w:uiPriority w:val="99"/>
    <w:unhideWhenUsed/>
    <w:rsid w:val="00FD014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D014C"/>
  </w:style>
  <w:style w:type="paragraph" w:styleId="Subttulo">
    <w:name w:val="Subtitle"/>
    <w:basedOn w:val="Normal"/>
    <w:next w:val="Normal"/>
    <w:link w:val="SubttuloCar"/>
    <w:qFormat/>
    <w:rsid w:val="00A56F3E"/>
    <w:pPr>
      <w:spacing w:after="60" w:line="240" w:lineRule="auto"/>
      <w:jc w:val="center"/>
      <w:outlineLvl w:val="1"/>
    </w:pPr>
    <w:rPr>
      <w:rFonts w:ascii="Cambria" w:eastAsia="Times New Roman" w:hAnsi="Cambria" w:cs="Times New Roman"/>
      <w:szCs w:val="24"/>
      <w:lang w:val="es-CO" w:eastAsia="es-CO"/>
    </w:rPr>
  </w:style>
  <w:style w:type="character" w:customStyle="1" w:styleId="SubttuloCar">
    <w:name w:val="Subtítulo Car"/>
    <w:basedOn w:val="Fuentedeprrafopredeter"/>
    <w:link w:val="Subttulo"/>
    <w:rsid w:val="00A56F3E"/>
    <w:rPr>
      <w:rFonts w:ascii="Cambria" w:eastAsia="Times New Roman" w:hAnsi="Cambria" w:cs="Times New Roman"/>
      <w:szCs w:val="24"/>
      <w:lang w:val="es-CO" w:eastAsia="es-CO"/>
    </w:rPr>
  </w:style>
  <w:style w:type="paragraph" w:styleId="Textocomentario">
    <w:name w:val="annotation text"/>
    <w:basedOn w:val="Normal"/>
    <w:link w:val="TextocomentarioCar"/>
    <w:uiPriority w:val="99"/>
    <w:rsid w:val="006351F7"/>
    <w:pPr>
      <w:spacing w:line="240" w:lineRule="auto"/>
    </w:pPr>
    <w:rPr>
      <w:rFonts w:ascii="Times New Roman" w:eastAsia="Times New Roman" w:hAnsi="Times New Roman" w:cs="Times New Roman"/>
      <w:sz w:val="20"/>
      <w:szCs w:val="20"/>
      <w:lang w:val="es-CO" w:eastAsia="es-CO"/>
    </w:rPr>
  </w:style>
  <w:style w:type="character" w:customStyle="1" w:styleId="TextocomentarioCar">
    <w:name w:val="Texto comentario Car"/>
    <w:basedOn w:val="Fuentedeprrafopredeter"/>
    <w:link w:val="Textocomentario"/>
    <w:uiPriority w:val="99"/>
    <w:rsid w:val="006351F7"/>
    <w:rPr>
      <w:rFonts w:ascii="Times New Roman" w:eastAsia="Times New Roman" w:hAnsi="Times New Roman" w:cs="Times New Roman"/>
      <w:sz w:val="20"/>
      <w:szCs w:val="20"/>
      <w:lang w:val="es-CO" w:eastAsia="es-CO"/>
    </w:rPr>
  </w:style>
  <w:style w:type="paragraph" w:customStyle="1" w:styleId="LOGO">
    <w:name w:val="LOGO"/>
    <w:basedOn w:val="Normal"/>
    <w:rsid w:val="006351F7"/>
    <w:pPr>
      <w:spacing w:line="240" w:lineRule="auto"/>
    </w:pPr>
    <w:rPr>
      <w:rFonts w:eastAsia="Times New Roman" w:cs="Times New Roman"/>
      <w:sz w:val="20"/>
      <w:szCs w:val="20"/>
      <w:lang w:val="es-CO" w:eastAsia="es-ES"/>
    </w:rPr>
  </w:style>
  <w:style w:type="paragraph" w:styleId="Puesto">
    <w:name w:val="Title"/>
    <w:basedOn w:val="Normal"/>
    <w:next w:val="Normal"/>
    <w:link w:val="PuestoCar"/>
    <w:qFormat/>
    <w:rsid w:val="00643425"/>
    <w:pPr>
      <w:spacing w:after="120" w:line="240" w:lineRule="auto"/>
      <w:jc w:val="center"/>
      <w:outlineLvl w:val="0"/>
    </w:pPr>
    <w:rPr>
      <w:rFonts w:ascii="Calibri" w:eastAsia="Times New Roman" w:hAnsi="Calibri" w:cs="Times New Roman"/>
      <w:b/>
      <w:bCs/>
      <w:kern w:val="28"/>
      <w:sz w:val="28"/>
      <w:szCs w:val="32"/>
      <w:lang w:val="es-CO" w:eastAsia="es-ES"/>
    </w:rPr>
  </w:style>
  <w:style w:type="character" w:customStyle="1" w:styleId="PuestoCar">
    <w:name w:val="Puesto Car"/>
    <w:basedOn w:val="Fuentedeprrafopredeter"/>
    <w:link w:val="Puesto"/>
    <w:rsid w:val="00643425"/>
    <w:rPr>
      <w:rFonts w:ascii="Calibri" w:eastAsia="Times New Roman" w:hAnsi="Calibri" w:cs="Times New Roman"/>
      <w:b/>
      <w:bCs/>
      <w:kern w:val="28"/>
      <w:sz w:val="28"/>
      <w:szCs w:val="32"/>
      <w:lang w:val="es-CO" w:eastAsia="es-ES"/>
    </w:rPr>
  </w:style>
  <w:style w:type="character" w:customStyle="1" w:styleId="style11">
    <w:name w:val="style11"/>
    <w:rsid w:val="00A42E75"/>
    <w:rPr>
      <w:color w:val="FFFFFF"/>
    </w:rPr>
  </w:style>
  <w:style w:type="character" w:styleId="Textoennegrita">
    <w:name w:val="Strong"/>
    <w:basedOn w:val="Fuentedeprrafopredeter"/>
    <w:uiPriority w:val="22"/>
    <w:qFormat/>
    <w:rsid w:val="00751FF9"/>
    <w:rPr>
      <w:b/>
      <w:bCs/>
    </w:rPr>
  </w:style>
  <w:style w:type="table" w:styleId="Tablaconcuadrcula">
    <w:name w:val="Table Grid"/>
    <w:basedOn w:val="Tablanormal"/>
    <w:uiPriority w:val="39"/>
    <w:rsid w:val="00BD6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rsid w:val="00B5038B"/>
    <w:pPr>
      <w:spacing w:line="240" w:lineRule="auto"/>
    </w:pPr>
    <w:rPr>
      <w:rFonts w:eastAsia="Times New Roman" w:cs="Times New Roman"/>
      <w:sz w:val="20"/>
      <w:szCs w:val="20"/>
      <w:lang w:eastAsia="es-ES"/>
    </w:rPr>
  </w:style>
  <w:style w:type="character" w:customStyle="1" w:styleId="PrrafodelistaCar">
    <w:name w:val="Párrafo de lista Car"/>
    <w:aliases w:val="Normal 3 Car,Bolita Car,Párrafo de lista21 Car,BOLA Car,List Paragraph Car,Segundo nivel de viñetas Car,List Paragraph1 Car,titulo 3 Car,List Paragraph 1 Car,Ha Car,HOJA Car,Párrafo de lista4 Car,BOLADEF Car,Párrafo de lista3 Car"/>
    <w:link w:val="Prrafodelista"/>
    <w:uiPriority w:val="34"/>
    <w:locked/>
    <w:rsid w:val="00B624DF"/>
  </w:style>
  <w:style w:type="table" w:customStyle="1" w:styleId="Tabladecuadrcula41">
    <w:name w:val="Tabla de cuadrícula 41"/>
    <w:basedOn w:val="Tablanormal"/>
    <w:uiPriority w:val="49"/>
    <w:rsid w:val="00081109"/>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uerpo">
    <w:name w:val="Cuerpo"/>
    <w:rsid w:val="00C46EBC"/>
    <w:pPr>
      <w:pBdr>
        <w:top w:val="nil"/>
        <w:left w:val="nil"/>
        <w:bottom w:val="nil"/>
        <w:right w:val="nil"/>
        <w:between w:val="nil"/>
        <w:bar w:val="nil"/>
      </w:pBdr>
      <w:ind w:left="426"/>
      <w:jc w:val="both"/>
    </w:pPr>
    <w:rPr>
      <w:rFonts w:ascii="Futura Bk BT" w:eastAsia="Futura Bk BT" w:hAnsi="Futura Bk BT" w:cs="Futura Bk BT"/>
      <w:color w:val="000000"/>
      <w:sz w:val="22"/>
      <w:u w:color="000000"/>
      <w:bdr w:val="nil"/>
      <w:lang w:val="es-CO" w:eastAsia="es-CO"/>
    </w:rPr>
  </w:style>
  <w:style w:type="numbering" w:customStyle="1" w:styleId="Lista21">
    <w:name w:val="Lista 21"/>
    <w:basedOn w:val="Sinlista"/>
    <w:rsid w:val="00660268"/>
    <w:pPr>
      <w:numPr>
        <w:numId w:val="6"/>
      </w:numPr>
    </w:pPr>
  </w:style>
  <w:style w:type="numbering" w:customStyle="1" w:styleId="Estiloimportado1">
    <w:name w:val="Estilo importado 1"/>
    <w:rsid w:val="00DF332A"/>
    <w:pPr>
      <w:numPr>
        <w:numId w:val="2"/>
      </w:numPr>
    </w:pPr>
  </w:style>
  <w:style w:type="numbering" w:customStyle="1" w:styleId="List0">
    <w:name w:val="List 0"/>
    <w:basedOn w:val="Estiloimportado1"/>
    <w:rsid w:val="00DF332A"/>
    <w:pPr>
      <w:numPr>
        <w:numId w:val="4"/>
      </w:numPr>
    </w:pPr>
  </w:style>
  <w:style w:type="numbering" w:customStyle="1" w:styleId="Lista31">
    <w:name w:val="Lista 31"/>
    <w:basedOn w:val="Estiloimportado1"/>
    <w:rsid w:val="00DF332A"/>
    <w:pPr>
      <w:numPr>
        <w:numId w:val="3"/>
      </w:numPr>
    </w:pPr>
  </w:style>
  <w:style w:type="numbering" w:customStyle="1" w:styleId="Lista41">
    <w:name w:val="Lista 41"/>
    <w:basedOn w:val="Estiloimportado1"/>
    <w:rsid w:val="00DF332A"/>
    <w:pPr>
      <w:numPr>
        <w:numId w:val="5"/>
      </w:numPr>
    </w:pPr>
  </w:style>
  <w:style w:type="paragraph" w:styleId="Listaconnmeros">
    <w:name w:val="List Number"/>
    <w:basedOn w:val="Normal"/>
    <w:uiPriority w:val="99"/>
    <w:unhideWhenUsed/>
    <w:rsid w:val="003334FD"/>
    <w:pPr>
      <w:numPr>
        <w:numId w:val="7"/>
      </w:numPr>
      <w:spacing w:after="120" w:line="276" w:lineRule="auto"/>
      <w:ind w:left="641" w:hanging="357"/>
    </w:pPr>
    <w:rPr>
      <w:rFonts w:ascii="Futura Std Book" w:eastAsiaTheme="minorEastAsia" w:hAnsi="Futura Std Book"/>
      <w:sz w:val="22"/>
      <w:szCs w:val="24"/>
      <w:lang w:val="es-ES_tradnl" w:eastAsia="es-ES"/>
    </w:rPr>
  </w:style>
  <w:style w:type="character" w:styleId="Refdecomentario">
    <w:name w:val="annotation reference"/>
    <w:basedOn w:val="Fuentedeprrafopredeter"/>
    <w:uiPriority w:val="99"/>
    <w:unhideWhenUsed/>
    <w:rsid w:val="003334FD"/>
    <w:rPr>
      <w:sz w:val="16"/>
      <w:szCs w:val="16"/>
    </w:rPr>
  </w:style>
  <w:style w:type="table" w:styleId="Listaclara-nfasis1">
    <w:name w:val="Light List Accent 1"/>
    <w:basedOn w:val="Tablanormal"/>
    <w:uiPriority w:val="61"/>
    <w:rsid w:val="00DC1461"/>
    <w:pPr>
      <w:spacing w:after="0" w:line="240" w:lineRule="auto"/>
    </w:pPr>
    <w:rPr>
      <w:rFonts w:asciiTheme="minorHAnsi" w:hAnsiTheme="minorHAnsi"/>
      <w:sz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basedOn w:val="Normal"/>
    <w:rsid w:val="00937850"/>
    <w:pPr>
      <w:autoSpaceDN w:val="0"/>
      <w:spacing w:line="240" w:lineRule="auto"/>
      <w:jc w:val="left"/>
    </w:pPr>
    <w:rPr>
      <w:rFonts w:ascii="Times New Roman" w:hAnsi="Times New Roman" w:cs="Times New Roman"/>
      <w:szCs w:val="24"/>
      <w:lang w:val="es-CO" w:eastAsia="zh-CN"/>
    </w:rPr>
  </w:style>
  <w:style w:type="paragraph" w:customStyle="1" w:styleId="Normal1">
    <w:name w:val="Normal 1"/>
    <w:basedOn w:val="Sangranormal"/>
    <w:qFormat/>
    <w:rsid w:val="00544CB9"/>
    <w:pPr>
      <w:spacing w:line="240" w:lineRule="auto"/>
      <w:ind w:left="2160" w:hanging="360"/>
    </w:pPr>
    <w:rPr>
      <w:rFonts w:ascii="Arial Narrow" w:eastAsiaTheme="minorEastAsia" w:hAnsi="Arial Narrow"/>
      <w:sz w:val="22"/>
      <w:szCs w:val="24"/>
      <w:lang w:val="es-ES_tradnl" w:eastAsia="es-ES"/>
    </w:rPr>
  </w:style>
  <w:style w:type="paragraph" w:styleId="Sangranormal">
    <w:name w:val="Normal Indent"/>
    <w:basedOn w:val="Normal"/>
    <w:uiPriority w:val="99"/>
    <w:semiHidden/>
    <w:unhideWhenUsed/>
    <w:rsid w:val="00544CB9"/>
    <w:pPr>
      <w:ind w:left="708"/>
    </w:pPr>
  </w:style>
  <w:style w:type="paragraph" w:customStyle="1" w:styleId="ndice">
    <w:name w:val="Índice"/>
    <w:basedOn w:val="Standard"/>
    <w:rsid w:val="00135DCD"/>
    <w:pPr>
      <w:widowControl w:val="0"/>
      <w:suppressLineNumbers/>
      <w:suppressAutoHyphens/>
      <w:textAlignment w:val="baseline"/>
    </w:pPr>
    <w:rPr>
      <w:rFonts w:eastAsia="Arial Unicode MS" w:cs="Tahoma"/>
      <w:kern w:val="3"/>
      <w:lang w:val="es-ES"/>
    </w:rPr>
  </w:style>
  <w:style w:type="table" w:customStyle="1" w:styleId="Tablanormal51">
    <w:name w:val="Tabla normal 51"/>
    <w:basedOn w:val="Tablanormal"/>
    <w:uiPriority w:val="45"/>
    <w:rsid w:val="00135DCD"/>
    <w:pPr>
      <w:spacing w:after="0" w:line="240" w:lineRule="auto"/>
    </w:pPr>
    <w:rPr>
      <w:rFonts w:ascii="Calibri" w:eastAsia="Calibri" w:hAnsi="Calibri" w:cs="Times New Roman"/>
      <w:sz w:val="22"/>
      <w:lang w:val="es-CO"/>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6Car">
    <w:name w:val="Título 6 Car"/>
    <w:basedOn w:val="Fuentedeprrafopredeter"/>
    <w:link w:val="Ttulo6"/>
    <w:uiPriority w:val="9"/>
    <w:semiHidden/>
    <w:rsid w:val="00AB40A3"/>
    <w:rPr>
      <w:rFonts w:asciiTheme="majorHAnsi" w:eastAsiaTheme="majorEastAsia" w:hAnsiTheme="majorHAnsi" w:cstheme="majorBidi"/>
      <w:i/>
      <w:iCs/>
      <w:color w:val="243F60" w:themeColor="accent1" w:themeShade="7F"/>
    </w:rPr>
  </w:style>
  <w:style w:type="table" w:customStyle="1" w:styleId="Tablaconcuadrcula1">
    <w:name w:val="Tabla con cuadrícula1"/>
    <w:basedOn w:val="Tablanormal"/>
    <w:next w:val="Tablaconcuadrcula"/>
    <w:uiPriority w:val="39"/>
    <w:rsid w:val="00233509"/>
    <w:pPr>
      <w:spacing w:after="0" w:line="240" w:lineRule="auto"/>
    </w:pPr>
    <w:rPr>
      <w:rFonts w:ascii="Calibri" w:eastAsia="Calibri" w:hAnsi="Calibri" w:cs="Times New Roman"/>
      <w:sz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17325"/>
    <w:rPr>
      <w:color w:val="800080"/>
      <w:u w:val="single"/>
    </w:rPr>
  </w:style>
  <w:style w:type="character" w:customStyle="1" w:styleId="apple-converted-space">
    <w:name w:val="apple-converted-space"/>
    <w:basedOn w:val="Fuentedeprrafopredeter"/>
    <w:rsid w:val="00017325"/>
  </w:style>
  <w:style w:type="paragraph" w:styleId="HTMLconformatoprevio">
    <w:name w:val="HTML Preformatted"/>
    <w:basedOn w:val="Normal"/>
    <w:link w:val="HTMLconformatoprevioCar"/>
    <w:uiPriority w:val="99"/>
    <w:unhideWhenUsed/>
    <w:rsid w:val="001F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alibri"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1F70D0"/>
    <w:rPr>
      <w:rFonts w:ascii="Courier New" w:eastAsia="Calibri" w:hAnsi="Courier New" w:cs="Courier New"/>
      <w:sz w:val="20"/>
      <w:szCs w:val="20"/>
      <w:lang w:val="es-CO" w:eastAsia="es-CO"/>
    </w:rPr>
  </w:style>
  <w:style w:type="paragraph" w:customStyle="1" w:styleId="Epgrafe">
    <w:name w:val="Epígrafe"/>
    <w:basedOn w:val="Normal"/>
    <w:next w:val="Normal"/>
    <w:uiPriority w:val="35"/>
    <w:unhideWhenUsed/>
    <w:qFormat/>
    <w:rsid w:val="001F70D0"/>
    <w:pPr>
      <w:spacing w:after="200" w:line="240" w:lineRule="auto"/>
      <w:jc w:val="left"/>
    </w:pPr>
    <w:rPr>
      <w:rFonts w:ascii="Times New Roman" w:eastAsia="Times New Roman" w:hAnsi="Times New Roman" w:cs="Times New Roman"/>
      <w:b/>
      <w:bCs/>
      <w:color w:val="5B9BD5"/>
      <w:sz w:val="18"/>
      <w:szCs w:val="18"/>
      <w:lang w:val="en-US"/>
    </w:rPr>
  </w:style>
  <w:style w:type="paragraph" w:styleId="Textosinformato">
    <w:name w:val="Plain Text"/>
    <w:basedOn w:val="Normal"/>
    <w:link w:val="TextosinformatoCar"/>
    <w:uiPriority w:val="99"/>
    <w:unhideWhenUsed/>
    <w:rsid w:val="007D2995"/>
    <w:pPr>
      <w:spacing w:line="240" w:lineRule="auto"/>
    </w:pPr>
    <w:rPr>
      <w:rFonts w:ascii="Calibri" w:eastAsiaTheme="minorEastAsia" w:hAnsi="Calibri"/>
      <w:sz w:val="20"/>
      <w:szCs w:val="21"/>
      <w:lang w:val="es-CO"/>
    </w:rPr>
  </w:style>
  <w:style w:type="character" w:customStyle="1" w:styleId="TextosinformatoCar">
    <w:name w:val="Texto sin formato Car"/>
    <w:basedOn w:val="Fuentedeprrafopredeter"/>
    <w:link w:val="Textosinformato"/>
    <w:uiPriority w:val="99"/>
    <w:rsid w:val="007D2995"/>
    <w:rPr>
      <w:rFonts w:ascii="Calibri" w:eastAsiaTheme="minorEastAsia" w:hAnsi="Calibri"/>
      <w:sz w:val="20"/>
      <w:szCs w:val="21"/>
      <w:lang w:val="es-CO"/>
    </w:rPr>
  </w:style>
  <w:style w:type="paragraph" w:customStyle="1" w:styleId="TablaNo">
    <w:name w:val="Tabla No"/>
    <w:basedOn w:val="Normal"/>
    <w:next w:val="Normal"/>
    <w:qFormat/>
    <w:rsid w:val="00371447"/>
    <w:pPr>
      <w:numPr>
        <w:numId w:val="11"/>
      </w:numPr>
      <w:autoSpaceDE w:val="0"/>
      <w:autoSpaceDN w:val="0"/>
      <w:adjustRightInd w:val="0"/>
      <w:jc w:val="center"/>
    </w:pPr>
    <w:rPr>
      <w:rFonts w:ascii="Times New Roman" w:eastAsia="Times New Roman" w:hAnsi="Times New Roman" w:cs="Times New Roman"/>
      <w:b/>
      <w:szCs w:val="24"/>
      <w:lang w:eastAsia="ko-KR"/>
    </w:rPr>
  </w:style>
  <w:style w:type="table" w:customStyle="1" w:styleId="Tablaconcuadrcula2">
    <w:name w:val="Tabla con cuadrícula2"/>
    <w:basedOn w:val="Tablanormal"/>
    <w:next w:val="Tablaconcuadrcula"/>
    <w:uiPriority w:val="59"/>
    <w:rsid w:val="00371447"/>
    <w:pPr>
      <w:spacing w:after="0" w:line="240" w:lineRule="auto"/>
    </w:pPr>
    <w:rPr>
      <w:rFonts w:asciiTheme="minorHAnsi" w:hAnsiTheme="minorHAnsi"/>
      <w:sz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imple">
    <w:name w:val="Normal simple"/>
    <w:basedOn w:val="Normal"/>
    <w:rsid w:val="00907221"/>
    <w:pPr>
      <w:spacing w:line="240" w:lineRule="auto"/>
      <w:jc w:val="left"/>
    </w:pPr>
    <w:rPr>
      <w:rFonts w:ascii="Times New Roman" w:eastAsia="Times New Roman" w:hAnsi="Times New Roman" w:cs="Times New Roman"/>
      <w:noProof/>
      <w:sz w:val="22"/>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152">
      <w:bodyDiv w:val="1"/>
      <w:marLeft w:val="0"/>
      <w:marRight w:val="0"/>
      <w:marTop w:val="0"/>
      <w:marBottom w:val="0"/>
      <w:divBdr>
        <w:top w:val="none" w:sz="0" w:space="0" w:color="auto"/>
        <w:left w:val="none" w:sz="0" w:space="0" w:color="auto"/>
        <w:bottom w:val="none" w:sz="0" w:space="0" w:color="auto"/>
        <w:right w:val="none" w:sz="0" w:space="0" w:color="auto"/>
      </w:divBdr>
    </w:div>
    <w:div w:id="8340699">
      <w:bodyDiv w:val="1"/>
      <w:marLeft w:val="0"/>
      <w:marRight w:val="0"/>
      <w:marTop w:val="0"/>
      <w:marBottom w:val="0"/>
      <w:divBdr>
        <w:top w:val="none" w:sz="0" w:space="0" w:color="auto"/>
        <w:left w:val="none" w:sz="0" w:space="0" w:color="auto"/>
        <w:bottom w:val="none" w:sz="0" w:space="0" w:color="auto"/>
        <w:right w:val="none" w:sz="0" w:space="0" w:color="auto"/>
      </w:divBdr>
    </w:div>
    <w:div w:id="17972964">
      <w:bodyDiv w:val="1"/>
      <w:marLeft w:val="0"/>
      <w:marRight w:val="0"/>
      <w:marTop w:val="0"/>
      <w:marBottom w:val="0"/>
      <w:divBdr>
        <w:top w:val="none" w:sz="0" w:space="0" w:color="auto"/>
        <w:left w:val="none" w:sz="0" w:space="0" w:color="auto"/>
        <w:bottom w:val="none" w:sz="0" w:space="0" w:color="auto"/>
        <w:right w:val="none" w:sz="0" w:space="0" w:color="auto"/>
      </w:divBdr>
    </w:div>
    <w:div w:id="36047448">
      <w:bodyDiv w:val="1"/>
      <w:marLeft w:val="0"/>
      <w:marRight w:val="0"/>
      <w:marTop w:val="0"/>
      <w:marBottom w:val="0"/>
      <w:divBdr>
        <w:top w:val="none" w:sz="0" w:space="0" w:color="auto"/>
        <w:left w:val="none" w:sz="0" w:space="0" w:color="auto"/>
        <w:bottom w:val="none" w:sz="0" w:space="0" w:color="auto"/>
        <w:right w:val="none" w:sz="0" w:space="0" w:color="auto"/>
      </w:divBdr>
    </w:div>
    <w:div w:id="41054482">
      <w:bodyDiv w:val="1"/>
      <w:marLeft w:val="0"/>
      <w:marRight w:val="0"/>
      <w:marTop w:val="0"/>
      <w:marBottom w:val="0"/>
      <w:divBdr>
        <w:top w:val="none" w:sz="0" w:space="0" w:color="auto"/>
        <w:left w:val="none" w:sz="0" w:space="0" w:color="auto"/>
        <w:bottom w:val="none" w:sz="0" w:space="0" w:color="auto"/>
        <w:right w:val="none" w:sz="0" w:space="0" w:color="auto"/>
      </w:divBdr>
    </w:div>
    <w:div w:id="41096099">
      <w:bodyDiv w:val="1"/>
      <w:marLeft w:val="0"/>
      <w:marRight w:val="0"/>
      <w:marTop w:val="0"/>
      <w:marBottom w:val="0"/>
      <w:divBdr>
        <w:top w:val="none" w:sz="0" w:space="0" w:color="auto"/>
        <w:left w:val="none" w:sz="0" w:space="0" w:color="auto"/>
        <w:bottom w:val="none" w:sz="0" w:space="0" w:color="auto"/>
        <w:right w:val="none" w:sz="0" w:space="0" w:color="auto"/>
      </w:divBdr>
      <w:divsChild>
        <w:div w:id="270015042">
          <w:marLeft w:val="720"/>
          <w:marRight w:val="0"/>
          <w:marTop w:val="0"/>
          <w:marBottom w:val="120"/>
          <w:divBdr>
            <w:top w:val="none" w:sz="0" w:space="0" w:color="auto"/>
            <w:left w:val="none" w:sz="0" w:space="0" w:color="auto"/>
            <w:bottom w:val="none" w:sz="0" w:space="0" w:color="auto"/>
            <w:right w:val="none" w:sz="0" w:space="0" w:color="auto"/>
          </w:divBdr>
        </w:div>
        <w:div w:id="281770036">
          <w:marLeft w:val="720"/>
          <w:marRight w:val="0"/>
          <w:marTop w:val="0"/>
          <w:marBottom w:val="120"/>
          <w:divBdr>
            <w:top w:val="none" w:sz="0" w:space="0" w:color="auto"/>
            <w:left w:val="none" w:sz="0" w:space="0" w:color="auto"/>
            <w:bottom w:val="none" w:sz="0" w:space="0" w:color="auto"/>
            <w:right w:val="none" w:sz="0" w:space="0" w:color="auto"/>
          </w:divBdr>
        </w:div>
      </w:divsChild>
    </w:div>
    <w:div w:id="46877275">
      <w:bodyDiv w:val="1"/>
      <w:marLeft w:val="0"/>
      <w:marRight w:val="0"/>
      <w:marTop w:val="0"/>
      <w:marBottom w:val="0"/>
      <w:divBdr>
        <w:top w:val="none" w:sz="0" w:space="0" w:color="auto"/>
        <w:left w:val="none" w:sz="0" w:space="0" w:color="auto"/>
        <w:bottom w:val="none" w:sz="0" w:space="0" w:color="auto"/>
        <w:right w:val="none" w:sz="0" w:space="0" w:color="auto"/>
      </w:divBdr>
    </w:div>
    <w:div w:id="67923705">
      <w:bodyDiv w:val="1"/>
      <w:marLeft w:val="0"/>
      <w:marRight w:val="0"/>
      <w:marTop w:val="0"/>
      <w:marBottom w:val="0"/>
      <w:divBdr>
        <w:top w:val="none" w:sz="0" w:space="0" w:color="auto"/>
        <w:left w:val="none" w:sz="0" w:space="0" w:color="auto"/>
        <w:bottom w:val="none" w:sz="0" w:space="0" w:color="auto"/>
        <w:right w:val="none" w:sz="0" w:space="0" w:color="auto"/>
      </w:divBdr>
    </w:div>
    <w:div w:id="70935750">
      <w:bodyDiv w:val="1"/>
      <w:marLeft w:val="0"/>
      <w:marRight w:val="0"/>
      <w:marTop w:val="0"/>
      <w:marBottom w:val="0"/>
      <w:divBdr>
        <w:top w:val="none" w:sz="0" w:space="0" w:color="auto"/>
        <w:left w:val="none" w:sz="0" w:space="0" w:color="auto"/>
        <w:bottom w:val="none" w:sz="0" w:space="0" w:color="auto"/>
        <w:right w:val="none" w:sz="0" w:space="0" w:color="auto"/>
      </w:divBdr>
      <w:divsChild>
        <w:div w:id="83453395">
          <w:marLeft w:val="288"/>
          <w:marRight w:val="0"/>
          <w:marTop w:val="0"/>
          <w:marBottom w:val="0"/>
          <w:divBdr>
            <w:top w:val="none" w:sz="0" w:space="0" w:color="auto"/>
            <w:left w:val="none" w:sz="0" w:space="0" w:color="auto"/>
            <w:bottom w:val="none" w:sz="0" w:space="0" w:color="auto"/>
            <w:right w:val="none" w:sz="0" w:space="0" w:color="auto"/>
          </w:divBdr>
        </w:div>
        <w:div w:id="2091467314">
          <w:marLeft w:val="1886"/>
          <w:marRight w:val="0"/>
          <w:marTop w:val="0"/>
          <w:marBottom w:val="0"/>
          <w:divBdr>
            <w:top w:val="none" w:sz="0" w:space="0" w:color="auto"/>
            <w:left w:val="none" w:sz="0" w:space="0" w:color="auto"/>
            <w:bottom w:val="none" w:sz="0" w:space="0" w:color="auto"/>
            <w:right w:val="none" w:sz="0" w:space="0" w:color="auto"/>
          </w:divBdr>
        </w:div>
      </w:divsChild>
    </w:div>
    <w:div w:id="73281572">
      <w:bodyDiv w:val="1"/>
      <w:marLeft w:val="0"/>
      <w:marRight w:val="0"/>
      <w:marTop w:val="0"/>
      <w:marBottom w:val="0"/>
      <w:divBdr>
        <w:top w:val="none" w:sz="0" w:space="0" w:color="auto"/>
        <w:left w:val="none" w:sz="0" w:space="0" w:color="auto"/>
        <w:bottom w:val="none" w:sz="0" w:space="0" w:color="auto"/>
        <w:right w:val="none" w:sz="0" w:space="0" w:color="auto"/>
      </w:divBdr>
      <w:divsChild>
        <w:div w:id="935946388">
          <w:marLeft w:val="317"/>
          <w:marRight w:val="0"/>
          <w:marTop w:val="0"/>
          <w:marBottom w:val="0"/>
          <w:divBdr>
            <w:top w:val="none" w:sz="0" w:space="0" w:color="auto"/>
            <w:left w:val="none" w:sz="0" w:space="0" w:color="auto"/>
            <w:bottom w:val="none" w:sz="0" w:space="0" w:color="auto"/>
            <w:right w:val="none" w:sz="0" w:space="0" w:color="auto"/>
          </w:divBdr>
        </w:div>
        <w:div w:id="315376294">
          <w:marLeft w:val="317"/>
          <w:marRight w:val="0"/>
          <w:marTop w:val="0"/>
          <w:marBottom w:val="0"/>
          <w:divBdr>
            <w:top w:val="none" w:sz="0" w:space="0" w:color="auto"/>
            <w:left w:val="none" w:sz="0" w:space="0" w:color="auto"/>
            <w:bottom w:val="none" w:sz="0" w:space="0" w:color="auto"/>
            <w:right w:val="none" w:sz="0" w:space="0" w:color="auto"/>
          </w:divBdr>
        </w:div>
      </w:divsChild>
    </w:div>
    <w:div w:id="79568622">
      <w:bodyDiv w:val="1"/>
      <w:marLeft w:val="0"/>
      <w:marRight w:val="0"/>
      <w:marTop w:val="0"/>
      <w:marBottom w:val="0"/>
      <w:divBdr>
        <w:top w:val="none" w:sz="0" w:space="0" w:color="auto"/>
        <w:left w:val="none" w:sz="0" w:space="0" w:color="auto"/>
        <w:bottom w:val="none" w:sz="0" w:space="0" w:color="auto"/>
        <w:right w:val="none" w:sz="0" w:space="0" w:color="auto"/>
      </w:divBdr>
      <w:divsChild>
        <w:div w:id="688719923">
          <w:marLeft w:val="446"/>
          <w:marRight w:val="0"/>
          <w:marTop w:val="0"/>
          <w:marBottom w:val="0"/>
          <w:divBdr>
            <w:top w:val="none" w:sz="0" w:space="0" w:color="auto"/>
            <w:left w:val="none" w:sz="0" w:space="0" w:color="auto"/>
            <w:bottom w:val="none" w:sz="0" w:space="0" w:color="auto"/>
            <w:right w:val="none" w:sz="0" w:space="0" w:color="auto"/>
          </w:divBdr>
        </w:div>
      </w:divsChild>
    </w:div>
    <w:div w:id="84612861">
      <w:bodyDiv w:val="1"/>
      <w:marLeft w:val="0"/>
      <w:marRight w:val="0"/>
      <w:marTop w:val="0"/>
      <w:marBottom w:val="0"/>
      <w:divBdr>
        <w:top w:val="none" w:sz="0" w:space="0" w:color="auto"/>
        <w:left w:val="none" w:sz="0" w:space="0" w:color="auto"/>
        <w:bottom w:val="none" w:sz="0" w:space="0" w:color="auto"/>
        <w:right w:val="none" w:sz="0" w:space="0" w:color="auto"/>
      </w:divBdr>
    </w:div>
    <w:div w:id="100879204">
      <w:bodyDiv w:val="1"/>
      <w:marLeft w:val="0"/>
      <w:marRight w:val="0"/>
      <w:marTop w:val="0"/>
      <w:marBottom w:val="0"/>
      <w:divBdr>
        <w:top w:val="none" w:sz="0" w:space="0" w:color="auto"/>
        <w:left w:val="none" w:sz="0" w:space="0" w:color="auto"/>
        <w:bottom w:val="none" w:sz="0" w:space="0" w:color="auto"/>
        <w:right w:val="none" w:sz="0" w:space="0" w:color="auto"/>
      </w:divBdr>
    </w:div>
    <w:div w:id="110369941">
      <w:bodyDiv w:val="1"/>
      <w:marLeft w:val="0"/>
      <w:marRight w:val="0"/>
      <w:marTop w:val="0"/>
      <w:marBottom w:val="0"/>
      <w:divBdr>
        <w:top w:val="none" w:sz="0" w:space="0" w:color="auto"/>
        <w:left w:val="none" w:sz="0" w:space="0" w:color="auto"/>
        <w:bottom w:val="none" w:sz="0" w:space="0" w:color="auto"/>
        <w:right w:val="none" w:sz="0" w:space="0" w:color="auto"/>
      </w:divBdr>
    </w:div>
    <w:div w:id="124740801">
      <w:bodyDiv w:val="1"/>
      <w:marLeft w:val="0"/>
      <w:marRight w:val="0"/>
      <w:marTop w:val="0"/>
      <w:marBottom w:val="0"/>
      <w:divBdr>
        <w:top w:val="none" w:sz="0" w:space="0" w:color="auto"/>
        <w:left w:val="none" w:sz="0" w:space="0" w:color="auto"/>
        <w:bottom w:val="none" w:sz="0" w:space="0" w:color="auto"/>
        <w:right w:val="none" w:sz="0" w:space="0" w:color="auto"/>
      </w:divBdr>
    </w:div>
    <w:div w:id="125201852">
      <w:bodyDiv w:val="1"/>
      <w:marLeft w:val="0"/>
      <w:marRight w:val="0"/>
      <w:marTop w:val="0"/>
      <w:marBottom w:val="0"/>
      <w:divBdr>
        <w:top w:val="none" w:sz="0" w:space="0" w:color="auto"/>
        <w:left w:val="none" w:sz="0" w:space="0" w:color="auto"/>
        <w:bottom w:val="none" w:sz="0" w:space="0" w:color="auto"/>
        <w:right w:val="none" w:sz="0" w:space="0" w:color="auto"/>
      </w:divBdr>
      <w:divsChild>
        <w:div w:id="603345039">
          <w:marLeft w:val="1267"/>
          <w:marRight w:val="0"/>
          <w:marTop w:val="0"/>
          <w:marBottom w:val="0"/>
          <w:divBdr>
            <w:top w:val="none" w:sz="0" w:space="0" w:color="auto"/>
            <w:left w:val="none" w:sz="0" w:space="0" w:color="auto"/>
            <w:bottom w:val="none" w:sz="0" w:space="0" w:color="auto"/>
            <w:right w:val="none" w:sz="0" w:space="0" w:color="auto"/>
          </w:divBdr>
        </w:div>
        <w:div w:id="1990593063">
          <w:marLeft w:val="1267"/>
          <w:marRight w:val="0"/>
          <w:marTop w:val="0"/>
          <w:marBottom w:val="0"/>
          <w:divBdr>
            <w:top w:val="none" w:sz="0" w:space="0" w:color="auto"/>
            <w:left w:val="none" w:sz="0" w:space="0" w:color="auto"/>
            <w:bottom w:val="none" w:sz="0" w:space="0" w:color="auto"/>
            <w:right w:val="none" w:sz="0" w:space="0" w:color="auto"/>
          </w:divBdr>
        </w:div>
        <w:div w:id="2060320981">
          <w:marLeft w:val="1267"/>
          <w:marRight w:val="0"/>
          <w:marTop w:val="0"/>
          <w:marBottom w:val="0"/>
          <w:divBdr>
            <w:top w:val="none" w:sz="0" w:space="0" w:color="auto"/>
            <w:left w:val="none" w:sz="0" w:space="0" w:color="auto"/>
            <w:bottom w:val="none" w:sz="0" w:space="0" w:color="auto"/>
            <w:right w:val="none" w:sz="0" w:space="0" w:color="auto"/>
          </w:divBdr>
        </w:div>
        <w:div w:id="214390520">
          <w:marLeft w:val="1267"/>
          <w:marRight w:val="0"/>
          <w:marTop w:val="0"/>
          <w:marBottom w:val="0"/>
          <w:divBdr>
            <w:top w:val="none" w:sz="0" w:space="0" w:color="auto"/>
            <w:left w:val="none" w:sz="0" w:space="0" w:color="auto"/>
            <w:bottom w:val="none" w:sz="0" w:space="0" w:color="auto"/>
            <w:right w:val="none" w:sz="0" w:space="0" w:color="auto"/>
          </w:divBdr>
        </w:div>
      </w:divsChild>
    </w:div>
    <w:div w:id="126163163">
      <w:bodyDiv w:val="1"/>
      <w:marLeft w:val="0"/>
      <w:marRight w:val="0"/>
      <w:marTop w:val="0"/>
      <w:marBottom w:val="0"/>
      <w:divBdr>
        <w:top w:val="none" w:sz="0" w:space="0" w:color="auto"/>
        <w:left w:val="none" w:sz="0" w:space="0" w:color="auto"/>
        <w:bottom w:val="none" w:sz="0" w:space="0" w:color="auto"/>
        <w:right w:val="none" w:sz="0" w:space="0" w:color="auto"/>
      </w:divBdr>
    </w:div>
    <w:div w:id="135268235">
      <w:bodyDiv w:val="1"/>
      <w:marLeft w:val="0"/>
      <w:marRight w:val="0"/>
      <w:marTop w:val="0"/>
      <w:marBottom w:val="0"/>
      <w:divBdr>
        <w:top w:val="none" w:sz="0" w:space="0" w:color="auto"/>
        <w:left w:val="none" w:sz="0" w:space="0" w:color="auto"/>
        <w:bottom w:val="none" w:sz="0" w:space="0" w:color="auto"/>
        <w:right w:val="none" w:sz="0" w:space="0" w:color="auto"/>
      </w:divBdr>
    </w:div>
    <w:div w:id="142700438">
      <w:bodyDiv w:val="1"/>
      <w:marLeft w:val="0"/>
      <w:marRight w:val="0"/>
      <w:marTop w:val="0"/>
      <w:marBottom w:val="0"/>
      <w:divBdr>
        <w:top w:val="none" w:sz="0" w:space="0" w:color="auto"/>
        <w:left w:val="none" w:sz="0" w:space="0" w:color="auto"/>
        <w:bottom w:val="none" w:sz="0" w:space="0" w:color="auto"/>
        <w:right w:val="none" w:sz="0" w:space="0" w:color="auto"/>
      </w:divBdr>
    </w:div>
    <w:div w:id="145129466">
      <w:bodyDiv w:val="1"/>
      <w:marLeft w:val="0"/>
      <w:marRight w:val="0"/>
      <w:marTop w:val="0"/>
      <w:marBottom w:val="0"/>
      <w:divBdr>
        <w:top w:val="none" w:sz="0" w:space="0" w:color="auto"/>
        <w:left w:val="none" w:sz="0" w:space="0" w:color="auto"/>
        <w:bottom w:val="none" w:sz="0" w:space="0" w:color="auto"/>
        <w:right w:val="none" w:sz="0" w:space="0" w:color="auto"/>
      </w:divBdr>
    </w:div>
    <w:div w:id="163058080">
      <w:bodyDiv w:val="1"/>
      <w:marLeft w:val="0"/>
      <w:marRight w:val="0"/>
      <w:marTop w:val="0"/>
      <w:marBottom w:val="0"/>
      <w:divBdr>
        <w:top w:val="none" w:sz="0" w:space="0" w:color="auto"/>
        <w:left w:val="none" w:sz="0" w:space="0" w:color="auto"/>
        <w:bottom w:val="none" w:sz="0" w:space="0" w:color="auto"/>
        <w:right w:val="none" w:sz="0" w:space="0" w:color="auto"/>
      </w:divBdr>
    </w:div>
    <w:div w:id="179130659">
      <w:bodyDiv w:val="1"/>
      <w:marLeft w:val="0"/>
      <w:marRight w:val="0"/>
      <w:marTop w:val="0"/>
      <w:marBottom w:val="0"/>
      <w:divBdr>
        <w:top w:val="none" w:sz="0" w:space="0" w:color="auto"/>
        <w:left w:val="none" w:sz="0" w:space="0" w:color="auto"/>
        <w:bottom w:val="none" w:sz="0" w:space="0" w:color="auto"/>
        <w:right w:val="none" w:sz="0" w:space="0" w:color="auto"/>
      </w:divBdr>
    </w:div>
    <w:div w:id="204102486">
      <w:bodyDiv w:val="1"/>
      <w:marLeft w:val="0"/>
      <w:marRight w:val="0"/>
      <w:marTop w:val="0"/>
      <w:marBottom w:val="0"/>
      <w:divBdr>
        <w:top w:val="none" w:sz="0" w:space="0" w:color="auto"/>
        <w:left w:val="none" w:sz="0" w:space="0" w:color="auto"/>
        <w:bottom w:val="none" w:sz="0" w:space="0" w:color="auto"/>
        <w:right w:val="none" w:sz="0" w:space="0" w:color="auto"/>
      </w:divBdr>
      <w:divsChild>
        <w:div w:id="465779890">
          <w:marLeft w:val="288"/>
          <w:marRight w:val="0"/>
          <w:marTop w:val="0"/>
          <w:marBottom w:val="120"/>
          <w:divBdr>
            <w:top w:val="none" w:sz="0" w:space="0" w:color="auto"/>
            <w:left w:val="none" w:sz="0" w:space="0" w:color="auto"/>
            <w:bottom w:val="none" w:sz="0" w:space="0" w:color="auto"/>
            <w:right w:val="none" w:sz="0" w:space="0" w:color="auto"/>
          </w:divBdr>
        </w:div>
      </w:divsChild>
    </w:div>
    <w:div w:id="220793905">
      <w:bodyDiv w:val="1"/>
      <w:marLeft w:val="0"/>
      <w:marRight w:val="0"/>
      <w:marTop w:val="0"/>
      <w:marBottom w:val="0"/>
      <w:divBdr>
        <w:top w:val="none" w:sz="0" w:space="0" w:color="auto"/>
        <w:left w:val="none" w:sz="0" w:space="0" w:color="auto"/>
        <w:bottom w:val="none" w:sz="0" w:space="0" w:color="auto"/>
        <w:right w:val="none" w:sz="0" w:space="0" w:color="auto"/>
      </w:divBdr>
    </w:div>
    <w:div w:id="231936209">
      <w:bodyDiv w:val="1"/>
      <w:marLeft w:val="0"/>
      <w:marRight w:val="0"/>
      <w:marTop w:val="0"/>
      <w:marBottom w:val="0"/>
      <w:divBdr>
        <w:top w:val="none" w:sz="0" w:space="0" w:color="auto"/>
        <w:left w:val="none" w:sz="0" w:space="0" w:color="auto"/>
        <w:bottom w:val="none" w:sz="0" w:space="0" w:color="auto"/>
        <w:right w:val="none" w:sz="0" w:space="0" w:color="auto"/>
      </w:divBdr>
    </w:div>
    <w:div w:id="243760122">
      <w:bodyDiv w:val="1"/>
      <w:marLeft w:val="0"/>
      <w:marRight w:val="0"/>
      <w:marTop w:val="0"/>
      <w:marBottom w:val="0"/>
      <w:divBdr>
        <w:top w:val="none" w:sz="0" w:space="0" w:color="auto"/>
        <w:left w:val="none" w:sz="0" w:space="0" w:color="auto"/>
        <w:bottom w:val="none" w:sz="0" w:space="0" w:color="auto"/>
        <w:right w:val="none" w:sz="0" w:space="0" w:color="auto"/>
      </w:divBdr>
    </w:div>
    <w:div w:id="251818731">
      <w:bodyDiv w:val="1"/>
      <w:marLeft w:val="0"/>
      <w:marRight w:val="0"/>
      <w:marTop w:val="0"/>
      <w:marBottom w:val="0"/>
      <w:divBdr>
        <w:top w:val="none" w:sz="0" w:space="0" w:color="auto"/>
        <w:left w:val="none" w:sz="0" w:space="0" w:color="auto"/>
        <w:bottom w:val="none" w:sz="0" w:space="0" w:color="auto"/>
        <w:right w:val="none" w:sz="0" w:space="0" w:color="auto"/>
      </w:divBdr>
      <w:divsChild>
        <w:div w:id="469371145">
          <w:marLeft w:val="317"/>
          <w:marRight w:val="0"/>
          <w:marTop w:val="0"/>
          <w:marBottom w:val="0"/>
          <w:divBdr>
            <w:top w:val="none" w:sz="0" w:space="0" w:color="auto"/>
            <w:left w:val="none" w:sz="0" w:space="0" w:color="auto"/>
            <w:bottom w:val="none" w:sz="0" w:space="0" w:color="auto"/>
            <w:right w:val="none" w:sz="0" w:space="0" w:color="auto"/>
          </w:divBdr>
        </w:div>
        <w:div w:id="746879992">
          <w:marLeft w:val="317"/>
          <w:marRight w:val="0"/>
          <w:marTop w:val="0"/>
          <w:marBottom w:val="0"/>
          <w:divBdr>
            <w:top w:val="none" w:sz="0" w:space="0" w:color="auto"/>
            <w:left w:val="none" w:sz="0" w:space="0" w:color="auto"/>
            <w:bottom w:val="none" w:sz="0" w:space="0" w:color="auto"/>
            <w:right w:val="none" w:sz="0" w:space="0" w:color="auto"/>
          </w:divBdr>
        </w:div>
        <w:div w:id="1946841840">
          <w:marLeft w:val="317"/>
          <w:marRight w:val="0"/>
          <w:marTop w:val="0"/>
          <w:marBottom w:val="0"/>
          <w:divBdr>
            <w:top w:val="none" w:sz="0" w:space="0" w:color="auto"/>
            <w:left w:val="none" w:sz="0" w:space="0" w:color="auto"/>
            <w:bottom w:val="none" w:sz="0" w:space="0" w:color="auto"/>
            <w:right w:val="none" w:sz="0" w:space="0" w:color="auto"/>
          </w:divBdr>
        </w:div>
      </w:divsChild>
    </w:div>
    <w:div w:id="252935063">
      <w:bodyDiv w:val="1"/>
      <w:marLeft w:val="0"/>
      <w:marRight w:val="0"/>
      <w:marTop w:val="0"/>
      <w:marBottom w:val="0"/>
      <w:divBdr>
        <w:top w:val="none" w:sz="0" w:space="0" w:color="auto"/>
        <w:left w:val="none" w:sz="0" w:space="0" w:color="auto"/>
        <w:bottom w:val="none" w:sz="0" w:space="0" w:color="auto"/>
        <w:right w:val="none" w:sz="0" w:space="0" w:color="auto"/>
      </w:divBdr>
      <w:divsChild>
        <w:div w:id="1146703464">
          <w:marLeft w:val="720"/>
          <w:marRight w:val="0"/>
          <w:marTop w:val="0"/>
          <w:marBottom w:val="240"/>
          <w:divBdr>
            <w:top w:val="none" w:sz="0" w:space="0" w:color="auto"/>
            <w:left w:val="none" w:sz="0" w:space="0" w:color="auto"/>
            <w:bottom w:val="none" w:sz="0" w:space="0" w:color="auto"/>
            <w:right w:val="none" w:sz="0" w:space="0" w:color="auto"/>
          </w:divBdr>
        </w:div>
        <w:div w:id="1777290022">
          <w:marLeft w:val="720"/>
          <w:marRight w:val="0"/>
          <w:marTop w:val="0"/>
          <w:marBottom w:val="240"/>
          <w:divBdr>
            <w:top w:val="none" w:sz="0" w:space="0" w:color="auto"/>
            <w:left w:val="none" w:sz="0" w:space="0" w:color="auto"/>
            <w:bottom w:val="none" w:sz="0" w:space="0" w:color="auto"/>
            <w:right w:val="none" w:sz="0" w:space="0" w:color="auto"/>
          </w:divBdr>
        </w:div>
        <w:div w:id="1579483735">
          <w:marLeft w:val="720"/>
          <w:marRight w:val="0"/>
          <w:marTop w:val="0"/>
          <w:marBottom w:val="240"/>
          <w:divBdr>
            <w:top w:val="none" w:sz="0" w:space="0" w:color="auto"/>
            <w:left w:val="none" w:sz="0" w:space="0" w:color="auto"/>
            <w:bottom w:val="none" w:sz="0" w:space="0" w:color="auto"/>
            <w:right w:val="none" w:sz="0" w:space="0" w:color="auto"/>
          </w:divBdr>
        </w:div>
        <w:div w:id="234752350">
          <w:marLeft w:val="720"/>
          <w:marRight w:val="0"/>
          <w:marTop w:val="0"/>
          <w:marBottom w:val="240"/>
          <w:divBdr>
            <w:top w:val="none" w:sz="0" w:space="0" w:color="auto"/>
            <w:left w:val="none" w:sz="0" w:space="0" w:color="auto"/>
            <w:bottom w:val="none" w:sz="0" w:space="0" w:color="auto"/>
            <w:right w:val="none" w:sz="0" w:space="0" w:color="auto"/>
          </w:divBdr>
        </w:div>
        <w:div w:id="502084837">
          <w:marLeft w:val="720"/>
          <w:marRight w:val="0"/>
          <w:marTop w:val="0"/>
          <w:marBottom w:val="240"/>
          <w:divBdr>
            <w:top w:val="none" w:sz="0" w:space="0" w:color="auto"/>
            <w:left w:val="none" w:sz="0" w:space="0" w:color="auto"/>
            <w:bottom w:val="none" w:sz="0" w:space="0" w:color="auto"/>
            <w:right w:val="none" w:sz="0" w:space="0" w:color="auto"/>
          </w:divBdr>
        </w:div>
        <w:div w:id="259067377">
          <w:marLeft w:val="720"/>
          <w:marRight w:val="0"/>
          <w:marTop w:val="0"/>
          <w:marBottom w:val="240"/>
          <w:divBdr>
            <w:top w:val="none" w:sz="0" w:space="0" w:color="auto"/>
            <w:left w:val="none" w:sz="0" w:space="0" w:color="auto"/>
            <w:bottom w:val="none" w:sz="0" w:space="0" w:color="auto"/>
            <w:right w:val="none" w:sz="0" w:space="0" w:color="auto"/>
          </w:divBdr>
        </w:div>
        <w:div w:id="42367875">
          <w:marLeft w:val="720"/>
          <w:marRight w:val="0"/>
          <w:marTop w:val="0"/>
          <w:marBottom w:val="240"/>
          <w:divBdr>
            <w:top w:val="none" w:sz="0" w:space="0" w:color="auto"/>
            <w:left w:val="none" w:sz="0" w:space="0" w:color="auto"/>
            <w:bottom w:val="none" w:sz="0" w:space="0" w:color="auto"/>
            <w:right w:val="none" w:sz="0" w:space="0" w:color="auto"/>
          </w:divBdr>
        </w:div>
      </w:divsChild>
    </w:div>
    <w:div w:id="270360496">
      <w:bodyDiv w:val="1"/>
      <w:marLeft w:val="0"/>
      <w:marRight w:val="0"/>
      <w:marTop w:val="0"/>
      <w:marBottom w:val="0"/>
      <w:divBdr>
        <w:top w:val="none" w:sz="0" w:space="0" w:color="auto"/>
        <w:left w:val="none" w:sz="0" w:space="0" w:color="auto"/>
        <w:bottom w:val="none" w:sz="0" w:space="0" w:color="auto"/>
        <w:right w:val="none" w:sz="0" w:space="0" w:color="auto"/>
      </w:divBdr>
    </w:div>
    <w:div w:id="277953505">
      <w:bodyDiv w:val="1"/>
      <w:marLeft w:val="0"/>
      <w:marRight w:val="0"/>
      <w:marTop w:val="0"/>
      <w:marBottom w:val="0"/>
      <w:divBdr>
        <w:top w:val="none" w:sz="0" w:space="0" w:color="auto"/>
        <w:left w:val="none" w:sz="0" w:space="0" w:color="auto"/>
        <w:bottom w:val="none" w:sz="0" w:space="0" w:color="auto"/>
        <w:right w:val="none" w:sz="0" w:space="0" w:color="auto"/>
      </w:divBdr>
    </w:div>
    <w:div w:id="301424015">
      <w:bodyDiv w:val="1"/>
      <w:marLeft w:val="0"/>
      <w:marRight w:val="0"/>
      <w:marTop w:val="0"/>
      <w:marBottom w:val="0"/>
      <w:divBdr>
        <w:top w:val="none" w:sz="0" w:space="0" w:color="auto"/>
        <w:left w:val="none" w:sz="0" w:space="0" w:color="auto"/>
        <w:bottom w:val="none" w:sz="0" w:space="0" w:color="auto"/>
        <w:right w:val="none" w:sz="0" w:space="0" w:color="auto"/>
      </w:divBdr>
    </w:div>
    <w:div w:id="301816918">
      <w:bodyDiv w:val="1"/>
      <w:marLeft w:val="0"/>
      <w:marRight w:val="0"/>
      <w:marTop w:val="0"/>
      <w:marBottom w:val="0"/>
      <w:divBdr>
        <w:top w:val="none" w:sz="0" w:space="0" w:color="auto"/>
        <w:left w:val="none" w:sz="0" w:space="0" w:color="auto"/>
        <w:bottom w:val="none" w:sz="0" w:space="0" w:color="auto"/>
        <w:right w:val="none" w:sz="0" w:space="0" w:color="auto"/>
      </w:divBdr>
    </w:div>
    <w:div w:id="321197882">
      <w:bodyDiv w:val="1"/>
      <w:marLeft w:val="0"/>
      <w:marRight w:val="0"/>
      <w:marTop w:val="0"/>
      <w:marBottom w:val="0"/>
      <w:divBdr>
        <w:top w:val="none" w:sz="0" w:space="0" w:color="auto"/>
        <w:left w:val="none" w:sz="0" w:space="0" w:color="auto"/>
        <w:bottom w:val="none" w:sz="0" w:space="0" w:color="auto"/>
        <w:right w:val="none" w:sz="0" w:space="0" w:color="auto"/>
      </w:divBdr>
    </w:div>
    <w:div w:id="326791367">
      <w:bodyDiv w:val="1"/>
      <w:marLeft w:val="0"/>
      <w:marRight w:val="0"/>
      <w:marTop w:val="0"/>
      <w:marBottom w:val="0"/>
      <w:divBdr>
        <w:top w:val="none" w:sz="0" w:space="0" w:color="auto"/>
        <w:left w:val="none" w:sz="0" w:space="0" w:color="auto"/>
        <w:bottom w:val="none" w:sz="0" w:space="0" w:color="auto"/>
        <w:right w:val="none" w:sz="0" w:space="0" w:color="auto"/>
      </w:divBdr>
      <w:divsChild>
        <w:div w:id="1665477873">
          <w:marLeft w:val="1987"/>
          <w:marRight w:val="0"/>
          <w:marTop w:val="0"/>
          <w:marBottom w:val="120"/>
          <w:divBdr>
            <w:top w:val="none" w:sz="0" w:space="0" w:color="auto"/>
            <w:left w:val="none" w:sz="0" w:space="0" w:color="auto"/>
            <w:bottom w:val="none" w:sz="0" w:space="0" w:color="auto"/>
            <w:right w:val="none" w:sz="0" w:space="0" w:color="auto"/>
          </w:divBdr>
        </w:div>
        <w:div w:id="808208549">
          <w:marLeft w:val="1987"/>
          <w:marRight w:val="0"/>
          <w:marTop w:val="0"/>
          <w:marBottom w:val="120"/>
          <w:divBdr>
            <w:top w:val="none" w:sz="0" w:space="0" w:color="auto"/>
            <w:left w:val="none" w:sz="0" w:space="0" w:color="auto"/>
            <w:bottom w:val="none" w:sz="0" w:space="0" w:color="auto"/>
            <w:right w:val="none" w:sz="0" w:space="0" w:color="auto"/>
          </w:divBdr>
        </w:div>
        <w:div w:id="2064476802">
          <w:marLeft w:val="1987"/>
          <w:marRight w:val="0"/>
          <w:marTop w:val="0"/>
          <w:marBottom w:val="120"/>
          <w:divBdr>
            <w:top w:val="none" w:sz="0" w:space="0" w:color="auto"/>
            <w:left w:val="none" w:sz="0" w:space="0" w:color="auto"/>
            <w:bottom w:val="none" w:sz="0" w:space="0" w:color="auto"/>
            <w:right w:val="none" w:sz="0" w:space="0" w:color="auto"/>
          </w:divBdr>
        </w:div>
      </w:divsChild>
    </w:div>
    <w:div w:id="336006461">
      <w:bodyDiv w:val="1"/>
      <w:marLeft w:val="0"/>
      <w:marRight w:val="0"/>
      <w:marTop w:val="0"/>
      <w:marBottom w:val="0"/>
      <w:divBdr>
        <w:top w:val="none" w:sz="0" w:space="0" w:color="auto"/>
        <w:left w:val="none" w:sz="0" w:space="0" w:color="auto"/>
        <w:bottom w:val="none" w:sz="0" w:space="0" w:color="auto"/>
        <w:right w:val="none" w:sz="0" w:space="0" w:color="auto"/>
      </w:divBdr>
      <w:divsChild>
        <w:div w:id="1308053313">
          <w:marLeft w:val="547"/>
          <w:marRight w:val="0"/>
          <w:marTop w:val="0"/>
          <w:marBottom w:val="0"/>
          <w:divBdr>
            <w:top w:val="none" w:sz="0" w:space="0" w:color="auto"/>
            <w:left w:val="none" w:sz="0" w:space="0" w:color="auto"/>
            <w:bottom w:val="none" w:sz="0" w:space="0" w:color="auto"/>
            <w:right w:val="none" w:sz="0" w:space="0" w:color="auto"/>
          </w:divBdr>
        </w:div>
      </w:divsChild>
    </w:div>
    <w:div w:id="351298530">
      <w:bodyDiv w:val="1"/>
      <w:marLeft w:val="0"/>
      <w:marRight w:val="0"/>
      <w:marTop w:val="0"/>
      <w:marBottom w:val="0"/>
      <w:divBdr>
        <w:top w:val="none" w:sz="0" w:space="0" w:color="auto"/>
        <w:left w:val="none" w:sz="0" w:space="0" w:color="auto"/>
        <w:bottom w:val="none" w:sz="0" w:space="0" w:color="auto"/>
        <w:right w:val="none" w:sz="0" w:space="0" w:color="auto"/>
      </w:divBdr>
    </w:div>
    <w:div w:id="360715284">
      <w:bodyDiv w:val="1"/>
      <w:marLeft w:val="0"/>
      <w:marRight w:val="0"/>
      <w:marTop w:val="0"/>
      <w:marBottom w:val="0"/>
      <w:divBdr>
        <w:top w:val="none" w:sz="0" w:space="0" w:color="auto"/>
        <w:left w:val="none" w:sz="0" w:space="0" w:color="auto"/>
        <w:bottom w:val="none" w:sz="0" w:space="0" w:color="auto"/>
        <w:right w:val="none" w:sz="0" w:space="0" w:color="auto"/>
      </w:divBdr>
      <w:divsChild>
        <w:div w:id="1854226654">
          <w:marLeft w:val="446"/>
          <w:marRight w:val="0"/>
          <w:marTop w:val="0"/>
          <w:marBottom w:val="0"/>
          <w:divBdr>
            <w:top w:val="none" w:sz="0" w:space="0" w:color="auto"/>
            <w:left w:val="none" w:sz="0" w:space="0" w:color="auto"/>
            <w:bottom w:val="none" w:sz="0" w:space="0" w:color="auto"/>
            <w:right w:val="none" w:sz="0" w:space="0" w:color="auto"/>
          </w:divBdr>
        </w:div>
      </w:divsChild>
    </w:div>
    <w:div w:id="368995263">
      <w:bodyDiv w:val="1"/>
      <w:marLeft w:val="0"/>
      <w:marRight w:val="0"/>
      <w:marTop w:val="0"/>
      <w:marBottom w:val="0"/>
      <w:divBdr>
        <w:top w:val="none" w:sz="0" w:space="0" w:color="auto"/>
        <w:left w:val="none" w:sz="0" w:space="0" w:color="auto"/>
        <w:bottom w:val="none" w:sz="0" w:space="0" w:color="auto"/>
        <w:right w:val="none" w:sz="0" w:space="0" w:color="auto"/>
      </w:divBdr>
    </w:div>
    <w:div w:id="380788088">
      <w:bodyDiv w:val="1"/>
      <w:marLeft w:val="0"/>
      <w:marRight w:val="0"/>
      <w:marTop w:val="0"/>
      <w:marBottom w:val="0"/>
      <w:divBdr>
        <w:top w:val="none" w:sz="0" w:space="0" w:color="auto"/>
        <w:left w:val="none" w:sz="0" w:space="0" w:color="auto"/>
        <w:bottom w:val="none" w:sz="0" w:space="0" w:color="auto"/>
        <w:right w:val="none" w:sz="0" w:space="0" w:color="auto"/>
      </w:divBdr>
    </w:div>
    <w:div w:id="384260969">
      <w:bodyDiv w:val="1"/>
      <w:marLeft w:val="0"/>
      <w:marRight w:val="0"/>
      <w:marTop w:val="0"/>
      <w:marBottom w:val="0"/>
      <w:divBdr>
        <w:top w:val="none" w:sz="0" w:space="0" w:color="auto"/>
        <w:left w:val="none" w:sz="0" w:space="0" w:color="auto"/>
        <w:bottom w:val="none" w:sz="0" w:space="0" w:color="auto"/>
        <w:right w:val="none" w:sz="0" w:space="0" w:color="auto"/>
      </w:divBdr>
    </w:div>
    <w:div w:id="410856873">
      <w:bodyDiv w:val="1"/>
      <w:marLeft w:val="0"/>
      <w:marRight w:val="0"/>
      <w:marTop w:val="0"/>
      <w:marBottom w:val="0"/>
      <w:divBdr>
        <w:top w:val="none" w:sz="0" w:space="0" w:color="auto"/>
        <w:left w:val="none" w:sz="0" w:space="0" w:color="auto"/>
        <w:bottom w:val="none" w:sz="0" w:space="0" w:color="auto"/>
        <w:right w:val="none" w:sz="0" w:space="0" w:color="auto"/>
      </w:divBdr>
    </w:div>
    <w:div w:id="415564378">
      <w:bodyDiv w:val="1"/>
      <w:marLeft w:val="0"/>
      <w:marRight w:val="0"/>
      <w:marTop w:val="0"/>
      <w:marBottom w:val="0"/>
      <w:divBdr>
        <w:top w:val="none" w:sz="0" w:space="0" w:color="auto"/>
        <w:left w:val="none" w:sz="0" w:space="0" w:color="auto"/>
        <w:bottom w:val="none" w:sz="0" w:space="0" w:color="auto"/>
        <w:right w:val="none" w:sz="0" w:space="0" w:color="auto"/>
      </w:divBdr>
    </w:div>
    <w:div w:id="420949503">
      <w:bodyDiv w:val="1"/>
      <w:marLeft w:val="0"/>
      <w:marRight w:val="0"/>
      <w:marTop w:val="0"/>
      <w:marBottom w:val="0"/>
      <w:divBdr>
        <w:top w:val="none" w:sz="0" w:space="0" w:color="auto"/>
        <w:left w:val="none" w:sz="0" w:space="0" w:color="auto"/>
        <w:bottom w:val="none" w:sz="0" w:space="0" w:color="auto"/>
        <w:right w:val="none" w:sz="0" w:space="0" w:color="auto"/>
      </w:divBdr>
      <w:divsChild>
        <w:div w:id="496069606">
          <w:marLeft w:val="0"/>
          <w:marRight w:val="0"/>
          <w:marTop w:val="0"/>
          <w:marBottom w:val="120"/>
          <w:divBdr>
            <w:top w:val="none" w:sz="0" w:space="0" w:color="auto"/>
            <w:left w:val="none" w:sz="0" w:space="0" w:color="auto"/>
            <w:bottom w:val="none" w:sz="0" w:space="0" w:color="auto"/>
            <w:right w:val="none" w:sz="0" w:space="0" w:color="auto"/>
          </w:divBdr>
        </w:div>
        <w:div w:id="243494193">
          <w:marLeft w:val="0"/>
          <w:marRight w:val="0"/>
          <w:marTop w:val="0"/>
          <w:marBottom w:val="120"/>
          <w:divBdr>
            <w:top w:val="none" w:sz="0" w:space="0" w:color="auto"/>
            <w:left w:val="none" w:sz="0" w:space="0" w:color="auto"/>
            <w:bottom w:val="none" w:sz="0" w:space="0" w:color="auto"/>
            <w:right w:val="none" w:sz="0" w:space="0" w:color="auto"/>
          </w:divBdr>
        </w:div>
      </w:divsChild>
    </w:div>
    <w:div w:id="426468863">
      <w:bodyDiv w:val="1"/>
      <w:marLeft w:val="0"/>
      <w:marRight w:val="0"/>
      <w:marTop w:val="0"/>
      <w:marBottom w:val="0"/>
      <w:divBdr>
        <w:top w:val="none" w:sz="0" w:space="0" w:color="auto"/>
        <w:left w:val="none" w:sz="0" w:space="0" w:color="auto"/>
        <w:bottom w:val="none" w:sz="0" w:space="0" w:color="auto"/>
        <w:right w:val="none" w:sz="0" w:space="0" w:color="auto"/>
      </w:divBdr>
    </w:div>
    <w:div w:id="453721632">
      <w:bodyDiv w:val="1"/>
      <w:marLeft w:val="0"/>
      <w:marRight w:val="0"/>
      <w:marTop w:val="0"/>
      <w:marBottom w:val="0"/>
      <w:divBdr>
        <w:top w:val="none" w:sz="0" w:space="0" w:color="auto"/>
        <w:left w:val="none" w:sz="0" w:space="0" w:color="auto"/>
        <w:bottom w:val="none" w:sz="0" w:space="0" w:color="auto"/>
        <w:right w:val="none" w:sz="0" w:space="0" w:color="auto"/>
      </w:divBdr>
    </w:div>
    <w:div w:id="458304560">
      <w:bodyDiv w:val="1"/>
      <w:marLeft w:val="0"/>
      <w:marRight w:val="0"/>
      <w:marTop w:val="0"/>
      <w:marBottom w:val="0"/>
      <w:divBdr>
        <w:top w:val="none" w:sz="0" w:space="0" w:color="auto"/>
        <w:left w:val="none" w:sz="0" w:space="0" w:color="auto"/>
        <w:bottom w:val="none" w:sz="0" w:space="0" w:color="auto"/>
        <w:right w:val="none" w:sz="0" w:space="0" w:color="auto"/>
      </w:divBdr>
    </w:div>
    <w:div w:id="465129563">
      <w:bodyDiv w:val="1"/>
      <w:marLeft w:val="0"/>
      <w:marRight w:val="0"/>
      <w:marTop w:val="0"/>
      <w:marBottom w:val="0"/>
      <w:divBdr>
        <w:top w:val="none" w:sz="0" w:space="0" w:color="auto"/>
        <w:left w:val="none" w:sz="0" w:space="0" w:color="auto"/>
        <w:bottom w:val="none" w:sz="0" w:space="0" w:color="auto"/>
        <w:right w:val="none" w:sz="0" w:space="0" w:color="auto"/>
      </w:divBdr>
      <w:divsChild>
        <w:div w:id="1251231429">
          <w:marLeft w:val="547"/>
          <w:marRight w:val="0"/>
          <w:marTop w:val="0"/>
          <w:marBottom w:val="0"/>
          <w:divBdr>
            <w:top w:val="none" w:sz="0" w:space="0" w:color="auto"/>
            <w:left w:val="none" w:sz="0" w:space="0" w:color="auto"/>
            <w:bottom w:val="none" w:sz="0" w:space="0" w:color="auto"/>
            <w:right w:val="none" w:sz="0" w:space="0" w:color="auto"/>
          </w:divBdr>
        </w:div>
      </w:divsChild>
    </w:div>
    <w:div w:id="467431595">
      <w:bodyDiv w:val="1"/>
      <w:marLeft w:val="0"/>
      <w:marRight w:val="0"/>
      <w:marTop w:val="0"/>
      <w:marBottom w:val="0"/>
      <w:divBdr>
        <w:top w:val="none" w:sz="0" w:space="0" w:color="auto"/>
        <w:left w:val="none" w:sz="0" w:space="0" w:color="auto"/>
        <w:bottom w:val="none" w:sz="0" w:space="0" w:color="auto"/>
        <w:right w:val="none" w:sz="0" w:space="0" w:color="auto"/>
      </w:divBdr>
      <w:divsChild>
        <w:div w:id="931090953">
          <w:marLeft w:val="547"/>
          <w:marRight w:val="0"/>
          <w:marTop w:val="0"/>
          <w:marBottom w:val="0"/>
          <w:divBdr>
            <w:top w:val="none" w:sz="0" w:space="0" w:color="auto"/>
            <w:left w:val="none" w:sz="0" w:space="0" w:color="auto"/>
            <w:bottom w:val="none" w:sz="0" w:space="0" w:color="auto"/>
            <w:right w:val="none" w:sz="0" w:space="0" w:color="auto"/>
          </w:divBdr>
        </w:div>
        <w:div w:id="815342237">
          <w:marLeft w:val="547"/>
          <w:marRight w:val="0"/>
          <w:marTop w:val="0"/>
          <w:marBottom w:val="0"/>
          <w:divBdr>
            <w:top w:val="none" w:sz="0" w:space="0" w:color="auto"/>
            <w:left w:val="none" w:sz="0" w:space="0" w:color="auto"/>
            <w:bottom w:val="none" w:sz="0" w:space="0" w:color="auto"/>
            <w:right w:val="none" w:sz="0" w:space="0" w:color="auto"/>
          </w:divBdr>
        </w:div>
        <w:div w:id="1934166941">
          <w:marLeft w:val="547"/>
          <w:marRight w:val="0"/>
          <w:marTop w:val="0"/>
          <w:marBottom w:val="0"/>
          <w:divBdr>
            <w:top w:val="none" w:sz="0" w:space="0" w:color="auto"/>
            <w:left w:val="none" w:sz="0" w:space="0" w:color="auto"/>
            <w:bottom w:val="none" w:sz="0" w:space="0" w:color="auto"/>
            <w:right w:val="none" w:sz="0" w:space="0" w:color="auto"/>
          </w:divBdr>
        </w:div>
        <w:div w:id="612253896">
          <w:marLeft w:val="1627"/>
          <w:marRight w:val="0"/>
          <w:marTop w:val="0"/>
          <w:marBottom w:val="0"/>
          <w:divBdr>
            <w:top w:val="none" w:sz="0" w:space="0" w:color="auto"/>
            <w:left w:val="none" w:sz="0" w:space="0" w:color="auto"/>
            <w:bottom w:val="none" w:sz="0" w:space="0" w:color="auto"/>
            <w:right w:val="none" w:sz="0" w:space="0" w:color="auto"/>
          </w:divBdr>
        </w:div>
        <w:div w:id="1653562752">
          <w:marLeft w:val="1627"/>
          <w:marRight w:val="0"/>
          <w:marTop w:val="0"/>
          <w:marBottom w:val="0"/>
          <w:divBdr>
            <w:top w:val="none" w:sz="0" w:space="0" w:color="auto"/>
            <w:left w:val="none" w:sz="0" w:space="0" w:color="auto"/>
            <w:bottom w:val="none" w:sz="0" w:space="0" w:color="auto"/>
            <w:right w:val="none" w:sz="0" w:space="0" w:color="auto"/>
          </w:divBdr>
        </w:div>
        <w:div w:id="630863863">
          <w:marLeft w:val="1627"/>
          <w:marRight w:val="0"/>
          <w:marTop w:val="0"/>
          <w:marBottom w:val="0"/>
          <w:divBdr>
            <w:top w:val="none" w:sz="0" w:space="0" w:color="auto"/>
            <w:left w:val="none" w:sz="0" w:space="0" w:color="auto"/>
            <w:bottom w:val="none" w:sz="0" w:space="0" w:color="auto"/>
            <w:right w:val="none" w:sz="0" w:space="0" w:color="auto"/>
          </w:divBdr>
        </w:div>
        <w:div w:id="661197366">
          <w:marLeft w:val="1627"/>
          <w:marRight w:val="0"/>
          <w:marTop w:val="0"/>
          <w:marBottom w:val="0"/>
          <w:divBdr>
            <w:top w:val="none" w:sz="0" w:space="0" w:color="auto"/>
            <w:left w:val="none" w:sz="0" w:space="0" w:color="auto"/>
            <w:bottom w:val="none" w:sz="0" w:space="0" w:color="auto"/>
            <w:right w:val="none" w:sz="0" w:space="0" w:color="auto"/>
          </w:divBdr>
        </w:div>
      </w:divsChild>
    </w:div>
    <w:div w:id="479928008">
      <w:bodyDiv w:val="1"/>
      <w:marLeft w:val="0"/>
      <w:marRight w:val="0"/>
      <w:marTop w:val="0"/>
      <w:marBottom w:val="0"/>
      <w:divBdr>
        <w:top w:val="none" w:sz="0" w:space="0" w:color="auto"/>
        <w:left w:val="none" w:sz="0" w:space="0" w:color="auto"/>
        <w:bottom w:val="none" w:sz="0" w:space="0" w:color="auto"/>
        <w:right w:val="none" w:sz="0" w:space="0" w:color="auto"/>
      </w:divBdr>
    </w:div>
    <w:div w:id="484710285">
      <w:bodyDiv w:val="1"/>
      <w:marLeft w:val="0"/>
      <w:marRight w:val="0"/>
      <w:marTop w:val="0"/>
      <w:marBottom w:val="0"/>
      <w:divBdr>
        <w:top w:val="none" w:sz="0" w:space="0" w:color="auto"/>
        <w:left w:val="none" w:sz="0" w:space="0" w:color="auto"/>
        <w:bottom w:val="none" w:sz="0" w:space="0" w:color="auto"/>
        <w:right w:val="none" w:sz="0" w:space="0" w:color="auto"/>
      </w:divBdr>
    </w:div>
    <w:div w:id="493692556">
      <w:bodyDiv w:val="1"/>
      <w:marLeft w:val="0"/>
      <w:marRight w:val="0"/>
      <w:marTop w:val="0"/>
      <w:marBottom w:val="0"/>
      <w:divBdr>
        <w:top w:val="none" w:sz="0" w:space="0" w:color="auto"/>
        <w:left w:val="none" w:sz="0" w:space="0" w:color="auto"/>
        <w:bottom w:val="none" w:sz="0" w:space="0" w:color="auto"/>
        <w:right w:val="none" w:sz="0" w:space="0" w:color="auto"/>
      </w:divBdr>
    </w:div>
    <w:div w:id="498540127">
      <w:bodyDiv w:val="1"/>
      <w:marLeft w:val="0"/>
      <w:marRight w:val="0"/>
      <w:marTop w:val="0"/>
      <w:marBottom w:val="0"/>
      <w:divBdr>
        <w:top w:val="none" w:sz="0" w:space="0" w:color="auto"/>
        <w:left w:val="none" w:sz="0" w:space="0" w:color="auto"/>
        <w:bottom w:val="none" w:sz="0" w:space="0" w:color="auto"/>
        <w:right w:val="none" w:sz="0" w:space="0" w:color="auto"/>
      </w:divBdr>
      <w:divsChild>
        <w:div w:id="1802578215">
          <w:marLeft w:val="288"/>
          <w:marRight w:val="0"/>
          <w:marTop w:val="0"/>
          <w:marBottom w:val="120"/>
          <w:divBdr>
            <w:top w:val="none" w:sz="0" w:space="0" w:color="auto"/>
            <w:left w:val="none" w:sz="0" w:space="0" w:color="auto"/>
            <w:bottom w:val="none" w:sz="0" w:space="0" w:color="auto"/>
            <w:right w:val="none" w:sz="0" w:space="0" w:color="auto"/>
          </w:divBdr>
        </w:div>
        <w:div w:id="1051807716">
          <w:marLeft w:val="288"/>
          <w:marRight w:val="0"/>
          <w:marTop w:val="0"/>
          <w:marBottom w:val="120"/>
          <w:divBdr>
            <w:top w:val="none" w:sz="0" w:space="0" w:color="auto"/>
            <w:left w:val="none" w:sz="0" w:space="0" w:color="auto"/>
            <w:bottom w:val="none" w:sz="0" w:space="0" w:color="auto"/>
            <w:right w:val="none" w:sz="0" w:space="0" w:color="auto"/>
          </w:divBdr>
        </w:div>
        <w:div w:id="561790094">
          <w:marLeft w:val="288"/>
          <w:marRight w:val="0"/>
          <w:marTop w:val="0"/>
          <w:marBottom w:val="120"/>
          <w:divBdr>
            <w:top w:val="none" w:sz="0" w:space="0" w:color="auto"/>
            <w:left w:val="none" w:sz="0" w:space="0" w:color="auto"/>
            <w:bottom w:val="none" w:sz="0" w:space="0" w:color="auto"/>
            <w:right w:val="none" w:sz="0" w:space="0" w:color="auto"/>
          </w:divBdr>
        </w:div>
      </w:divsChild>
    </w:div>
    <w:div w:id="515191350">
      <w:bodyDiv w:val="1"/>
      <w:marLeft w:val="0"/>
      <w:marRight w:val="0"/>
      <w:marTop w:val="0"/>
      <w:marBottom w:val="0"/>
      <w:divBdr>
        <w:top w:val="none" w:sz="0" w:space="0" w:color="auto"/>
        <w:left w:val="none" w:sz="0" w:space="0" w:color="auto"/>
        <w:bottom w:val="none" w:sz="0" w:space="0" w:color="auto"/>
        <w:right w:val="none" w:sz="0" w:space="0" w:color="auto"/>
      </w:divBdr>
      <w:divsChild>
        <w:div w:id="1511678590">
          <w:marLeft w:val="547"/>
          <w:marRight w:val="0"/>
          <w:marTop w:val="0"/>
          <w:marBottom w:val="0"/>
          <w:divBdr>
            <w:top w:val="none" w:sz="0" w:space="0" w:color="auto"/>
            <w:left w:val="none" w:sz="0" w:space="0" w:color="auto"/>
            <w:bottom w:val="none" w:sz="0" w:space="0" w:color="auto"/>
            <w:right w:val="none" w:sz="0" w:space="0" w:color="auto"/>
          </w:divBdr>
        </w:div>
      </w:divsChild>
    </w:div>
    <w:div w:id="524710226">
      <w:bodyDiv w:val="1"/>
      <w:marLeft w:val="0"/>
      <w:marRight w:val="0"/>
      <w:marTop w:val="0"/>
      <w:marBottom w:val="0"/>
      <w:divBdr>
        <w:top w:val="none" w:sz="0" w:space="0" w:color="auto"/>
        <w:left w:val="none" w:sz="0" w:space="0" w:color="auto"/>
        <w:bottom w:val="none" w:sz="0" w:space="0" w:color="auto"/>
        <w:right w:val="none" w:sz="0" w:space="0" w:color="auto"/>
      </w:divBdr>
    </w:div>
    <w:div w:id="536435874">
      <w:bodyDiv w:val="1"/>
      <w:marLeft w:val="0"/>
      <w:marRight w:val="0"/>
      <w:marTop w:val="0"/>
      <w:marBottom w:val="0"/>
      <w:divBdr>
        <w:top w:val="none" w:sz="0" w:space="0" w:color="auto"/>
        <w:left w:val="none" w:sz="0" w:space="0" w:color="auto"/>
        <w:bottom w:val="none" w:sz="0" w:space="0" w:color="auto"/>
        <w:right w:val="none" w:sz="0" w:space="0" w:color="auto"/>
      </w:divBdr>
    </w:div>
    <w:div w:id="544298333">
      <w:bodyDiv w:val="1"/>
      <w:marLeft w:val="0"/>
      <w:marRight w:val="0"/>
      <w:marTop w:val="0"/>
      <w:marBottom w:val="0"/>
      <w:divBdr>
        <w:top w:val="none" w:sz="0" w:space="0" w:color="auto"/>
        <w:left w:val="none" w:sz="0" w:space="0" w:color="auto"/>
        <w:bottom w:val="none" w:sz="0" w:space="0" w:color="auto"/>
        <w:right w:val="none" w:sz="0" w:space="0" w:color="auto"/>
      </w:divBdr>
    </w:div>
    <w:div w:id="560023235">
      <w:bodyDiv w:val="1"/>
      <w:marLeft w:val="0"/>
      <w:marRight w:val="0"/>
      <w:marTop w:val="0"/>
      <w:marBottom w:val="0"/>
      <w:divBdr>
        <w:top w:val="none" w:sz="0" w:space="0" w:color="auto"/>
        <w:left w:val="none" w:sz="0" w:space="0" w:color="auto"/>
        <w:bottom w:val="none" w:sz="0" w:space="0" w:color="auto"/>
        <w:right w:val="none" w:sz="0" w:space="0" w:color="auto"/>
      </w:divBdr>
    </w:div>
    <w:div w:id="565183444">
      <w:bodyDiv w:val="1"/>
      <w:marLeft w:val="0"/>
      <w:marRight w:val="0"/>
      <w:marTop w:val="0"/>
      <w:marBottom w:val="0"/>
      <w:divBdr>
        <w:top w:val="none" w:sz="0" w:space="0" w:color="auto"/>
        <w:left w:val="none" w:sz="0" w:space="0" w:color="auto"/>
        <w:bottom w:val="none" w:sz="0" w:space="0" w:color="auto"/>
        <w:right w:val="none" w:sz="0" w:space="0" w:color="auto"/>
      </w:divBdr>
    </w:div>
    <w:div w:id="583028755">
      <w:bodyDiv w:val="1"/>
      <w:marLeft w:val="0"/>
      <w:marRight w:val="0"/>
      <w:marTop w:val="0"/>
      <w:marBottom w:val="0"/>
      <w:divBdr>
        <w:top w:val="none" w:sz="0" w:space="0" w:color="auto"/>
        <w:left w:val="none" w:sz="0" w:space="0" w:color="auto"/>
        <w:bottom w:val="none" w:sz="0" w:space="0" w:color="auto"/>
        <w:right w:val="none" w:sz="0" w:space="0" w:color="auto"/>
      </w:divBdr>
      <w:divsChild>
        <w:div w:id="1980646008">
          <w:marLeft w:val="1987"/>
          <w:marRight w:val="0"/>
          <w:marTop w:val="0"/>
          <w:marBottom w:val="120"/>
          <w:divBdr>
            <w:top w:val="none" w:sz="0" w:space="0" w:color="auto"/>
            <w:left w:val="none" w:sz="0" w:space="0" w:color="auto"/>
            <w:bottom w:val="none" w:sz="0" w:space="0" w:color="auto"/>
            <w:right w:val="none" w:sz="0" w:space="0" w:color="auto"/>
          </w:divBdr>
        </w:div>
        <w:div w:id="459036071">
          <w:marLeft w:val="1987"/>
          <w:marRight w:val="0"/>
          <w:marTop w:val="0"/>
          <w:marBottom w:val="120"/>
          <w:divBdr>
            <w:top w:val="none" w:sz="0" w:space="0" w:color="auto"/>
            <w:left w:val="none" w:sz="0" w:space="0" w:color="auto"/>
            <w:bottom w:val="none" w:sz="0" w:space="0" w:color="auto"/>
            <w:right w:val="none" w:sz="0" w:space="0" w:color="auto"/>
          </w:divBdr>
        </w:div>
        <w:div w:id="1980646878">
          <w:marLeft w:val="1987"/>
          <w:marRight w:val="0"/>
          <w:marTop w:val="0"/>
          <w:marBottom w:val="120"/>
          <w:divBdr>
            <w:top w:val="none" w:sz="0" w:space="0" w:color="auto"/>
            <w:left w:val="none" w:sz="0" w:space="0" w:color="auto"/>
            <w:bottom w:val="none" w:sz="0" w:space="0" w:color="auto"/>
            <w:right w:val="none" w:sz="0" w:space="0" w:color="auto"/>
          </w:divBdr>
        </w:div>
        <w:div w:id="1705593532">
          <w:marLeft w:val="1987"/>
          <w:marRight w:val="0"/>
          <w:marTop w:val="0"/>
          <w:marBottom w:val="120"/>
          <w:divBdr>
            <w:top w:val="none" w:sz="0" w:space="0" w:color="auto"/>
            <w:left w:val="none" w:sz="0" w:space="0" w:color="auto"/>
            <w:bottom w:val="none" w:sz="0" w:space="0" w:color="auto"/>
            <w:right w:val="none" w:sz="0" w:space="0" w:color="auto"/>
          </w:divBdr>
        </w:div>
      </w:divsChild>
    </w:div>
    <w:div w:id="586156463">
      <w:bodyDiv w:val="1"/>
      <w:marLeft w:val="0"/>
      <w:marRight w:val="0"/>
      <w:marTop w:val="0"/>
      <w:marBottom w:val="0"/>
      <w:divBdr>
        <w:top w:val="none" w:sz="0" w:space="0" w:color="auto"/>
        <w:left w:val="none" w:sz="0" w:space="0" w:color="auto"/>
        <w:bottom w:val="none" w:sz="0" w:space="0" w:color="auto"/>
        <w:right w:val="none" w:sz="0" w:space="0" w:color="auto"/>
      </w:divBdr>
    </w:div>
    <w:div w:id="588856956">
      <w:bodyDiv w:val="1"/>
      <w:marLeft w:val="0"/>
      <w:marRight w:val="0"/>
      <w:marTop w:val="0"/>
      <w:marBottom w:val="0"/>
      <w:divBdr>
        <w:top w:val="none" w:sz="0" w:space="0" w:color="auto"/>
        <w:left w:val="none" w:sz="0" w:space="0" w:color="auto"/>
        <w:bottom w:val="none" w:sz="0" w:space="0" w:color="auto"/>
        <w:right w:val="none" w:sz="0" w:space="0" w:color="auto"/>
      </w:divBdr>
    </w:div>
    <w:div w:id="593632379">
      <w:bodyDiv w:val="1"/>
      <w:marLeft w:val="0"/>
      <w:marRight w:val="0"/>
      <w:marTop w:val="0"/>
      <w:marBottom w:val="0"/>
      <w:divBdr>
        <w:top w:val="none" w:sz="0" w:space="0" w:color="auto"/>
        <w:left w:val="none" w:sz="0" w:space="0" w:color="auto"/>
        <w:bottom w:val="none" w:sz="0" w:space="0" w:color="auto"/>
        <w:right w:val="none" w:sz="0" w:space="0" w:color="auto"/>
      </w:divBdr>
    </w:div>
    <w:div w:id="594091447">
      <w:bodyDiv w:val="1"/>
      <w:marLeft w:val="0"/>
      <w:marRight w:val="0"/>
      <w:marTop w:val="0"/>
      <w:marBottom w:val="0"/>
      <w:divBdr>
        <w:top w:val="none" w:sz="0" w:space="0" w:color="auto"/>
        <w:left w:val="none" w:sz="0" w:space="0" w:color="auto"/>
        <w:bottom w:val="none" w:sz="0" w:space="0" w:color="auto"/>
        <w:right w:val="none" w:sz="0" w:space="0" w:color="auto"/>
      </w:divBdr>
      <w:divsChild>
        <w:div w:id="1603536731">
          <w:marLeft w:val="1987"/>
          <w:marRight w:val="0"/>
          <w:marTop w:val="0"/>
          <w:marBottom w:val="120"/>
          <w:divBdr>
            <w:top w:val="none" w:sz="0" w:space="0" w:color="auto"/>
            <w:left w:val="none" w:sz="0" w:space="0" w:color="auto"/>
            <w:bottom w:val="none" w:sz="0" w:space="0" w:color="auto"/>
            <w:right w:val="none" w:sz="0" w:space="0" w:color="auto"/>
          </w:divBdr>
        </w:div>
        <w:div w:id="757676671">
          <w:marLeft w:val="1987"/>
          <w:marRight w:val="0"/>
          <w:marTop w:val="0"/>
          <w:marBottom w:val="120"/>
          <w:divBdr>
            <w:top w:val="none" w:sz="0" w:space="0" w:color="auto"/>
            <w:left w:val="none" w:sz="0" w:space="0" w:color="auto"/>
            <w:bottom w:val="none" w:sz="0" w:space="0" w:color="auto"/>
            <w:right w:val="none" w:sz="0" w:space="0" w:color="auto"/>
          </w:divBdr>
        </w:div>
        <w:div w:id="1117482610">
          <w:marLeft w:val="1987"/>
          <w:marRight w:val="0"/>
          <w:marTop w:val="0"/>
          <w:marBottom w:val="120"/>
          <w:divBdr>
            <w:top w:val="none" w:sz="0" w:space="0" w:color="auto"/>
            <w:left w:val="none" w:sz="0" w:space="0" w:color="auto"/>
            <w:bottom w:val="none" w:sz="0" w:space="0" w:color="auto"/>
            <w:right w:val="none" w:sz="0" w:space="0" w:color="auto"/>
          </w:divBdr>
        </w:div>
      </w:divsChild>
    </w:div>
    <w:div w:id="596644759">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7">
          <w:marLeft w:val="0"/>
          <w:marRight w:val="0"/>
          <w:marTop w:val="0"/>
          <w:marBottom w:val="120"/>
          <w:divBdr>
            <w:top w:val="none" w:sz="0" w:space="0" w:color="auto"/>
            <w:left w:val="none" w:sz="0" w:space="0" w:color="auto"/>
            <w:bottom w:val="none" w:sz="0" w:space="0" w:color="auto"/>
            <w:right w:val="none" w:sz="0" w:space="0" w:color="auto"/>
          </w:divBdr>
        </w:div>
        <w:div w:id="1209686720">
          <w:marLeft w:val="0"/>
          <w:marRight w:val="0"/>
          <w:marTop w:val="0"/>
          <w:marBottom w:val="120"/>
          <w:divBdr>
            <w:top w:val="none" w:sz="0" w:space="0" w:color="auto"/>
            <w:left w:val="none" w:sz="0" w:space="0" w:color="auto"/>
            <w:bottom w:val="none" w:sz="0" w:space="0" w:color="auto"/>
            <w:right w:val="none" w:sz="0" w:space="0" w:color="auto"/>
          </w:divBdr>
        </w:div>
      </w:divsChild>
    </w:div>
    <w:div w:id="604850664">
      <w:bodyDiv w:val="1"/>
      <w:marLeft w:val="0"/>
      <w:marRight w:val="0"/>
      <w:marTop w:val="0"/>
      <w:marBottom w:val="0"/>
      <w:divBdr>
        <w:top w:val="none" w:sz="0" w:space="0" w:color="auto"/>
        <w:left w:val="none" w:sz="0" w:space="0" w:color="auto"/>
        <w:bottom w:val="none" w:sz="0" w:space="0" w:color="auto"/>
        <w:right w:val="none" w:sz="0" w:space="0" w:color="auto"/>
      </w:divBdr>
    </w:div>
    <w:div w:id="613555674">
      <w:bodyDiv w:val="1"/>
      <w:marLeft w:val="0"/>
      <w:marRight w:val="0"/>
      <w:marTop w:val="0"/>
      <w:marBottom w:val="0"/>
      <w:divBdr>
        <w:top w:val="none" w:sz="0" w:space="0" w:color="auto"/>
        <w:left w:val="none" w:sz="0" w:space="0" w:color="auto"/>
        <w:bottom w:val="none" w:sz="0" w:space="0" w:color="auto"/>
        <w:right w:val="none" w:sz="0" w:space="0" w:color="auto"/>
      </w:divBdr>
    </w:div>
    <w:div w:id="616445108">
      <w:bodyDiv w:val="1"/>
      <w:marLeft w:val="0"/>
      <w:marRight w:val="0"/>
      <w:marTop w:val="0"/>
      <w:marBottom w:val="0"/>
      <w:divBdr>
        <w:top w:val="none" w:sz="0" w:space="0" w:color="auto"/>
        <w:left w:val="none" w:sz="0" w:space="0" w:color="auto"/>
        <w:bottom w:val="none" w:sz="0" w:space="0" w:color="auto"/>
        <w:right w:val="none" w:sz="0" w:space="0" w:color="auto"/>
      </w:divBdr>
    </w:div>
    <w:div w:id="617293907">
      <w:bodyDiv w:val="1"/>
      <w:marLeft w:val="0"/>
      <w:marRight w:val="0"/>
      <w:marTop w:val="0"/>
      <w:marBottom w:val="0"/>
      <w:divBdr>
        <w:top w:val="none" w:sz="0" w:space="0" w:color="auto"/>
        <w:left w:val="none" w:sz="0" w:space="0" w:color="auto"/>
        <w:bottom w:val="none" w:sz="0" w:space="0" w:color="auto"/>
        <w:right w:val="none" w:sz="0" w:space="0" w:color="auto"/>
      </w:divBdr>
    </w:div>
    <w:div w:id="631714179">
      <w:bodyDiv w:val="1"/>
      <w:marLeft w:val="0"/>
      <w:marRight w:val="0"/>
      <w:marTop w:val="0"/>
      <w:marBottom w:val="0"/>
      <w:divBdr>
        <w:top w:val="none" w:sz="0" w:space="0" w:color="auto"/>
        <w:left w:val="none" w:sz="0" w:space="0" w:color="auto"/>
        <w:bottom w:val="none" w:sz="0" w:space="0" w:color="auto"/>
        <w:right w:val="none" w:sz="0" w:space="0" w:color="auto"/>
      </w:divBdr>
    </w:div>
    <w:div w:id="632757460">
      <w:bodyDiv w:val="1"/>
      <w:marLeft w:val="0"/>
      <w:marRight w:val="0"/>
      <w:marTop w:val="0"/>
      <w:marBottom w:val="0"/>
      <w:divBdr>
        <w:top w:val="none" w:sz="0" w:space="0" w:color="auto"/>
        <w:left w:val="none" w:sz="0" w:space="0" w:color="auto"/>
        <w:bottom w:val="none" w:sz="0" w:space="0" w:color="auto"/>
        <w:right w:val="none" w:sz="0" w:space="0" w:color="auto"/>
      </w:divBdr>
    </w:div>
    <w:div w:id="639774472">
      <w:bodyDiv w:val="1"/>
      <w:marLeft w:val="0"/>
      <w:marRight w:val="0"/>
      <w:marTop w:val="0"/>
      <w:marBottom w:val="0"/>
      <w:divBdr>
        <w:top w:val="none" w:sz="0" w:space="0" w:color="auto"/>
        <w:left w:val="none" w:sz="0" w:space="0" w:color="auto"/>
        <w:bottom w:val="none" w:sz="0" w:space="0" w:color="auto"/>
        <w:right w:val="none" w:sz="0" w:space="0" w:color="auto"/>
      </w:divBdr>
      <w:divsChild>
        <w:div w:id="287589133">
          <w:marLeft w:val="547"/>
          <w:marRight w:val="0"/>
          <w:marTop w:val="0"/>
          <w:marBottom w:val="120"/>
          <w:divBdr>
            <w:top w:val="none" w:sz="0" w:space="0" w:color="auto"/>
            <w:left w:val="none" w:sz="0" w:space="0" w:color="auto"/>
            <w:bottom w:val="none" w:sz="0" w:space="0" w:color="auto"/>
            <w:right w:val="none" w:sz="0" w:space="0" w:color="auto"/>
          </w:divBdr>
        </w:div>
        <w:div w:id="1412770804">
          <w:marLeft w:val="547"/>
          <w:marRight w:val="0"/>
          <w:marTop w:val="0"/>
          <w:marBottom w:val="120"/>
          <w:divBdr>
            <w:top w:val="none" w:sz="0" w:space="0" w:color="auto"/>
            <w:left w:val="none" w:sz="0" w:space="0" w:color="auto"/>
            <w:bottom w:val="none" w:sz="0" w:space="0" w:color="auto"/>
            <w:right w:val="none" w:sz="0" w:space="0" w:color="auto"/>
          </w:divBdr>
        </w:div>
        <w:div w:id="1394350666">
          <w:marLeft w:val="547"/>
          <w:marRight w:val="0"/>
          <w:marTop w:val="0"/>
          <w:marBottom w:val="120"/>
          <w:divBdr>
            <w:top w:val="none" w:sz="0" w:space="0" w:color="auto"/>
            <w:left w:val="none" w:sz="0" w:space="0" w:color="auto"/>
            <w:bottom w:val="none" w:sz="0" w:space="0" w:color="auto"/>
            <w:right w:val="none" w:sz="0" w:space="0" w:color="auto"/>
          </w:divBdr>
        </w:div>
      </w:divsChild>
    </w:div>
    <w:div w:id="648822443">
      <w:bodyDiv w:val="1"/>
      <w:marLeft w:val="0"/>
      <w:marRight w:val="0"/>
      <w:marTop w:val="0"/>
      <w:marBottom w:val="0"/>
      <w:divBdr>
        <w:top w:val="none" w:sz="0" w:space="0" w:color="auto"/>
        <w:left w:val="none" w:sz="0" w:space="0" w:color="auto"/>
        <w:bottom w:val="none" w:sz="0" w:space="0" w:color="auto"/>
        <w:right w:val="none" w:sz="0" w:space="0" w:color="auto"/>
      </w:divBdr>
      <w:divsChild>
        <w:div w:id="1302274171">
          <w:marLeft w:val="547"/>
          <w:marRight w:val="0"/>
          <w:marTop w:val="0"/>
          <w:marBottom w:val="0"/>
          <w:divBdr>
            <w:top w:val="none" w:sz="0" w:space="0" w:color="auto"/>
            <w:left w:val="none" w:sz="0" w:space="0" w:color="auto"/>
            <w:bottom w:val="none" w:sz="0" w:space="0" w:color="auto"/>
            <w:right w:val="none" w:sz="0" w:space="0" w:color="auto"/>
          </w:divBdr>
        </w:div>
        <w:div w:id="573661812">
          <w:marLeft w:val="1886"/>
          <w:marRight w:val="0"/>
          <w:marTop w:val="0"/>
          <w:marBottom w:val="0"/>
          <w:divBdr>
            <w:top w:val="none" w:sz="0" w:space="0" w:color="auto"/>
            <w:left w:val="none" w:sz="0" w:space="0" w:color="auto"/>
            <w:bottom w:val="none" w:sz="0" w:space="0" w:color="auto"/>
            <w:right w:val="none" w:sz="0" w:space="0" w:color="auto"/>
          </w:divBdr>
        </w:div>
        <w:div w:id="574361374">
          <w:marLeft w:val="1886"/>
          <w:marRight w:val="0"/>
          <w:marTop w:val="0"/>
          <w:marBottom w:val="0"/>
          <w:divBdr>
            <w:top w:val="none" w:sz="0" w:space="0" w:color="auto"/>
            <w:left w:val="none" w:sz="0" w:space="0" w:color="auto"/>
            <w:bottom w:val="none" w:sz="0" w:space="0" w:color="auto"/>
            <w:right w:val="none" w:sz="0" w:space="0" w:color="auto"/>
          </w:divBdr>
        </w:div>
        <w:div w:id="2012178014">
          <w:marLeft w:val="1886"/>
          <w:marRight w:val="0"/>
          <w:marTop w:val="0"/>
          <w:marBottom w:val="0"/>
          <w:divBdr>
            <w:top w:val="none" w:sz="0" w:space="0" w:color="auto"/>
            <w:left w:val="none" w:sz="0" w:space="0" w:color="auto"/>
            <w:bottom w:val="none" w:sz="0" w:space="0" w:color="auto"/>
            <w:right w:val="none" w:sz="0" w:space="0" w:color="auto"/>
          </w:divBdr>
        </w:div>
        <w:div w:id="970869349">
          <w:marLeft w:val="1886"/>
          <w:marRight w:val="0"/>
          <w:marTop w:val="0"/>
          <w:marBottom w:val="0"/>
          <w:divBdr>
            <w:top w:val="none" w:sz="0" w:space="0" w:color="auto"/>
            <w:left w:val="none" w:sz="0" w:space="0" w:color="auto"/>
            <w:bottom w:val="none" w:sz="0" w:space="0" w:color="auto"/>
            <w:right w:val="none" w:sz="0" w:space="0" w:color="auto"/>
          </w:divBdr>
        </w:div>
      </w:divsChild>
    </w:div>
    <w:div w:id="649134360">
      <w:bodyDiv w:val="1"/>
      <w:marLeft w:val="0"/>
      <w:marRight w:val="0"/>
      <w:marTop w:val="0"/>
      <w:marBottom w:val="0"/>
      <w:divBdr>
        <w:top w:val="none" w:sz="0" w:space="0" w:color="auto"/>
        <w:left w:val="none" w:sz="0" w:space="0" w:color="auto"/>
        <w:bottom w:val="none" w:sz="0" w:space="0" w:color="auto"/>
        <w:right w:val="none" w:sz="0" w:space="0" w:color="auto"/>
      </w:divBdr>
    </w:div>
    <w:div w:id="654989860">
      <w:bodyDiv w:val="1"/>
      <w:marLeft w:val="0"/>
      <w:marRight w:val="0"/>
      <w:marTop w:val="0"/>
      <w:marBottom w:val="0"/>
      <w:divBdr>
        <w:top w:val="none" w:sz="0" w:space="0" w:color="auto"/>
        <w:left w:val="none" w:sz="0" w:space="0" w:color="auto"/>
        <w:bottom w:val="none" w:sz="0" w:space="0" w:color="auto"/>
        <w:right w:val="none" w:sz="0" w:space="0" w:color="auto"/>
      </w:divBdr>
      <w:divsChild>
        <w:div w:id="1053383071">
          <w:marLeft w:val="994"/>
          <w:marRight w:val="0"/>
          <w:marTop w:val="0"/>
          <w:marBottom w:val="0"/>
          <w:divBdr>
            <w:top w:val="none" w:sz="0" w:space="0" w:color="auto"/>
            <w:left w:val="none" w:sz="0" w:space="0" w:color="auto"/>
            <w:bottom w:val="none" w:sz="0" w:space="0" w:color="auto"/>
            <w:right w:val="none" w:sz="0" w:space="0" w:color="auto"/>
          </w:divBdr>
        </w:div>
        <w:div w:id="1228608663">
          <w:marLeft w:val="994"/>
          <w:marRight w:val="0"/>
          <w:marTop w:val="0"/>
          <w:marBottom w:val="0"/>
          <w:divBdr>
            <w:top w:val="none" w:sz="0" w:space="0" w:color="auto"/>
            <w:left w:val="none" w:sz="0" w:space="0" w:color="auto"/>
            <w:bottom w:val="none" w:sz="0" w:space="0" w:color="auto"/>
            <w:right w:val="none" w:sz="0" w:space="0" w:color="auto"/>
          </w:divBdr>
        </w:div>
        <w:div w:id="1887066129">
          <w:marLeft w:val="994"/>
          <w:marRight w:val="0"/>
          <w:marTop w:val="0"/>
          <w:marBottom w:val="0"/>
          <w:divBdr>
            <w:top w:val="none" w:sz="0" w:space="0" w:color="auto"/>
            <w:left w:val="none" w:sz="0" w:space="0" w:color="auto"/>
            <w:bottom w:val="none" w:sz="0" w:space="0" w:color="auto"/>
            <w:right w:val="none" w:sz="0" w:space="0" w:color="auto"/>
          </w:divBdr>
        </w:div>
      </w:divsChild>
    </w:div>
    <w:div w:id="697395639">
      <w:bodyDiv w:val="1"/>
      <w:marLeft w:val="0"/>
      <w:marRight w:val="0"/>
      <w:marTop w:val="0"/>
      <w:marBottom w:val="0"/>
      <w:divBdr>
        <w:top w:val="none" w:sz="0" w:space="0" w:color="auto"/>
        <w:left w:val="none" w:sz="0" w:space="0" w:color="auto"/>
        <w:bottom w:val="none" w:sz="0" w:space="0" w:color="auto"/>
        <w:right w:val="none" w:sz="0" w:space="0" w:color="auto"/>
      </w:divBdr>
      <w:divsChild>
        <w:div w:id="335115710">
          <w:marLeft w:val="1987"/>
          <w:marRight w:val="0"/>
          <w:marTop w:val="0"/>
          <w:marBottom w:val="120"/>
          <w:divBdr>
            <w:top w:val="none" w:sz="0" w:space="0" w:color="auto"/>
            <w:left w:val="none" w:sz="0" w:space="0" w:color="auto"/>
            <w:bottom w:val="none" w:sz="0" w:space="0" w:color="auto"/>
            <w:right w:val="none" w:sz="0" w:space="0" w:color="auto"/>
          </w:divBdr>
        </w:div>
        <w:div w:id="661784798">
          <w:marLeft w:val="1987"/>
          <w:marRight w:val="0"/>
          <w:marTop w:val="0"/>
          <w:marBottom w:val="120"/>
          <w:divBdr>
            <w:top w:val="none" w:sz="0" w:space="0" w:color="auto"/>
            <w:left w:val="none" w:sz="0" w:space="0" w:color="auto"/>
            <w:bottom w:val="none" w:sz="0" w:space="0" w:color="auto"/>
            <w:right w:val="none" w:sz="0" w:space="0" w:color="auto"/>
          </w:divBdr>
        </w:div>
      </w:divsChild>
    </w:div>
    <w:div w:id="699821240">
      <w:bodyDiv w:val="1"/>
      <w:marLeft w:val="0"/>
      <w:marRight w:val="0"/>
      <w:marTop w:val="0"/>
      <w:marBottom w:val="0"/>
      <w:divBdr>
        <w:top w:val="none" w:sz="0" w:space="0" w:color="auto"/>
        <w:left w:val="none" w:sz="0" w:space="0" w:color="auto"/>
        <w:bottom w:val="none" w:sz="0" w:space="0" w:color="auto"/>
        <w:right w:val="none" w:sz="0" w:space="0" w:color="auto"/>
      </w:divBdr>
      <w:divsChild>
        <w:div w:id="1353848042">
          <w:marLeft w:val="0"/>
          <w:marRight w:val="0"/>
          <w:marTop w:val="48"/>
          <w:marBottom w:val="0"/>
          <w:divBdr>
            <w:top w:val="none" w:sz="0" w:space="0" w:color="auto"/>
            <w:left w:val="none" w:sz="0" w:space="0" w:color="auto"/>
            <w:bottom w:val="none" w:sz="0" w:space="0" w:color="auto"/>
            <w:right w:val="none" w:sz="0" w:space="0" w:color="auto"/>
          </w:divBdr>
        </w:div>
        <w:div w:id="1571387478">
          <w:marLeft w:val="0"/>
          <w:marRight w:val="0"/>
          <w:marTop w:val="48"/>
          <w:marBottom w:val="0"/>
          <w:divBdr>
            <w:top w:val="none" w:sz="0" w:space="0" w:color="auto"/>
            <w:left w:val="none" w:sz="0" w:space="0" w:color="auto"/>
            <w:bottom w:val="none" w:sz="0" w:space="0" w:color="auto"/>
            <w:right w:val="none" w:sz="0" w:space="0" w:color="auto"/>
          </w:divBdr>
        </w:div>
      </w:divsChild>
    </w:div>
    <w:div w:id="704906563">
      <w:bodyDiv w:val="1"/>
      <w:marLeft w:val="0"/>
      <w:marRight w:val="0"/>
      <w:marTop w:val="0"/>
      <w:marBottom w:val="0"/>
      <w:divBdr>
        <w:top w:val="none" w:sz="0" w:space="0" w:color="auto"/>
        <w:left w:val="none" w:sz="0" w:space="0" w:color="auto"/>
        <w:bottom w:val="none" w:sz="0" w:space="0" w:color="auto"/>
        <w:right w:val="none" w:sz="0" w:space="0" w:color="auto"/>
      </w:divBdr>
    </w:div>
    <w:div w:id="728260931">
      <w:bodyDiv w:val="1"/>
      <w:marLeft w:val="0"/>
      <w:marRight w:val="0"/>
      <w:marTop w:val="0"/>
      <w:marBottom w:val="0"/>
      <w:divBdr>
        <w:top w:val="none" w:sz="0" w:space="0" w:color="auto"/>
        <w:left w:val="none" w:sz="0" w:space="0" w:color="auto"/>
        <w:bottom w:val="none" w:sz="0" w:space="0" w:color="auto"/>
        <w:right w:val="none" w:sz="0" w:space="0" w:color="auto"/>
      </w:divBdr>
    </w:div>
    <w:div w:id="728766654">
      <w:bodyDiv w:val="1"/>
      <w:marLeft w:val="0"/>
      <w:marRight w:val="0"/>
      <w:marTop w:val="0"/>
      <w:marBottom w:val="0"/>
      <w:divBdr>
        <w:top w:val="none" w:sz="0" w:space="0" w:color="auto"/>
        <w:left w:val="none" w:sz="0" w:space="0" w:color="auto"/>
        <w:bottom w:val="none" w:sz="0" w:space="0" w:color="auto"/>
        <w:right w:val="none" w:sz="0" w:space="0" w:color="auto"/>
      </w:divBdr>
    </w:div>
    <w:div w:id="736325432">
      <w:bodyDiv w:val="1"/>
      <w:marLeft w:val="0"/>
      <w:marRight w:val="0"/>
      <w:marTop w:val="0"/>
      <w:marBottom w:val="0"/>
      <w:divBdr>
        <w:top w:val="none" w:sz="0" w:space="0" w:color="auto"/>
        <w:left w:val="none" w:sz="0" w:space="0" w:color="auto"/>
        <w:bottom w:val="none" w:sz="0" w:space="0" w:color="auto"/>
        <w:right w:val="none" w:sz="0" w:space="0" w:color="auto"/>
      </w:divBdr>
    </w:div>
    <w:div w:id="737367720">
      <w:bodyDiv w:val="1"/>
      <w:marLeft w:val="0"/>
      <w:marRight w:val="0"/>
      <w:marTop w:val="0"/>
      <w:marBottom w:val="0"/>
      <w:divBdr>
        <w:top w:val="none" w:sz="0" w:space="0" w:color="auto"/>
        <w:left w:val="none" w:sz="0" w:space="0" w:color="auto"/>
        <w:bottom w:val="none" w:sz="0" w:space="0" w:color="auto"/>
        <w:right w:val="none" w:sz="0" w:space="0" w:color="auto"/>
      </w:divBdr>
    </w:div>
    <w:div w:id="741681104">
      <w:bodyDiv w:val="1"/>
      <w:marLeft w:val="0"/>
      <w:marRight w:val="0"/>
      <w:marTop w:val="0"/>
      <w:marBottom w:val="0"/>
      <w:divBdr>
        <w:top w:val="none" w:sz="0" w:space="0" w:color="auto"/>
        <w:left w:val="none" w:sz="0" w:space="0" w:color="auto"/>
        <w:bottom w:val="none" w:sz="0" w:space="0" w:color="auto"/>
        <w:right w:val="none" w:sz="0" w:space="0" w:color="auto"/>
      </w:divBdr>
      <w:divsChild>
        <w:div w:id="1796830591">
          <w:marLeft w:val="144"/>
          <w:marRight w:val="0"/>
          <w:marTop w:val="168"/>
          <w:marBottom w:val="0"/>
          <w:divBdr>
            <w:top w:val="none" w:sz="0" w:space="0" w:color="auto"/>
            <w:left w:val="none" w:sz="0" w:space="0" w:color="auto"/>
            <w:bottom w:val="none" w:sz="0" w:space="0" w:color="auto"/>
            <w:right w:val="none" w:sz="0" w:space="0" w:color="auto"/>
          </w:divBdr>
        </w:div>
      </w:divsChild>
    </w:div>
    <w:div w:id="743986824">
      <w:bodyDiv w:val="1"/>
      <w:marLeft w:val="0"/>
      <w:marRight w:val="0"/>
      <w:marTop w:val="0"/>
      <w:marBottom w:val="0"/>
      <w:divBdr>
        <w:top w:val="none" w:sz="0" w:space="0" w:color="auto"/>
        <w:left w:val="none" w:sz="0" w:space="0" w:color="auto"/>
        <w:bottom w:val="none" w:sz="0" w:space="0" w:color="auto"/>
        <w:right w:val="none" w:sz="0" w:space="0" w:color="auto"/>
      </w:divBdr>
      <w:divsChild>
        <w:div w:id="1822379868">
          <w:marLeft w:val="547"/>
          <w:marRight w:val="0"/>
          <w:marTop w:val="0"/>
          <w:marBottom w:val="0"/>
          <w:divBdr>
            <w:top w:val="none" w:sz="0" w:space="0" w:color="auto"/>
            <w:left w:val="none" w:sz="0" w:space="0" w:color="auto"/>
            <w:bottom w:val="none" w:sz="0" w:space="0" w:color="auto"/>
            <w:right w:val="none" w:sz="0" w:space="0" w:color="auto"/>
          </w:divBdr>
        </w:div>
        <w:div w:id="394284484">
          <w:marLeft w:val="547"/>
          <w:marRight w:val="0"/>
          <w:marTop w:val="0"/>
          <w:marBottom w:val="0"/>
          <w:divBdr>
            <w:top w:val="none" w:sz="0" w:space="0" w:color="auto"/>
            <w:left w:val="none" w:sz="0" w:space="0" w:color="auto"/>
            <w:bottom w:val="none" w:sz="0" w:space="0" w:color="auto"/>
            <w:right w:val="none" w:sz="0" w:space="0" w:color="auto"/>
          </w:divBdr>
        </w:div>
        <w:div w:id="1725517137">
          <w:marLeft w:val="547"/>
          <w:marRight w:val="0"/>
          <w:marTop w:val="0"/>
          <w:marBottom w:val="0"/>
          <w:divBdr>
            <w:top w:val="none" w:sz="0" w:space="0" w:color="auto"/>
            <w:left w:val="none" w:sz="0" w:space="0" w:color="auto"/>
            <w:bottom w:val="none" w:sz="0" w:space="0" w:color="auto"/>
            <w:right w:val="none" w:sz="0" w:space="0" w:color="auto"/>
          </w:divBdr>
        </w:div>
      </w:divsChild>
    </w:div>
    <w:div w:id="744377629">
      <w:bodyDiv w:val="1"/>
      <w:marLeft w:val="0"/>
      <w:marRight w:val="0"/>
      <w:marTop w:val="0"/>
      <w:marBottom w:val="0"/>
      <w:divBdr>
        <w:top w:val="none" w:sz="0" w:space="0" w:color="auto"/>
        <w:left w:val="none" w:sz="0" w:space="0" w:color="auto"/>
        <w:bottom w:val="none" w:sz="0" w:space="0" w:color="auto"/>
        <w:right w:val="none" w:sz="0" w:space="0" w:color="auto"/>
      </w:divBdr>
    </w:div>
    <w:div w:id="752118917">
      <w:bodyDiv w:val="1"/>
      <w:marLeft w:val="0"/>
      <w:marRight w:val="0"/>
      <w:marTop w:val="0"/>
      <w:marBottom w:val="0"/>
      <w:divBdr>
        <w:top w:val="none" w:sz="0" w:space="0" w:color="auto"/>
        <w:left w:val="none" w:sz="0" w:space="0" w:color="auto"/>
        <w:bottom w:val="none" w:sz="0" w:space="0" w:color="auto"/>
        <w:right w:val="none" w:sz="0" w:space="0" w:color="auto"/>
      </w:divBdr>
    </w:div>
    <w:div w:id="752431044">
      <w:bodyDiv w:val="1"/>
      <w:marLeft w:val="0"/>
      <w:marRight w:val="0"/>
      <w:marTop w:val="0"/>
      <w:marBottom w:val="0"/>
      <w:divBdr>
        <w:top w:val="none" w:sz="0" w:space="0" w:color="auto"/>
        <w:left w:val="none" w:sz="0" w:space="0" w:color="auto"/>
        <w:bottom w:val="none" w:sz="0" w:space="0" w:color="auto"/>
        <w:right w:val="none" w:sz="0" w:space="0" w:color="auto"/>
      </w:divBdr>
    </w:div>
    <w:div w:id="758869951">
      <w:bodyDiv w:val="1"/>
      <w:marLeft w:val="0"/>
      <w:marRight w:val="0"/>
      <w:marTop w:val="0"/>
      <w:marBottom w:val="0"/>
      <w:divBdr>
        <w:top w:val="none" w:sz="0" w:space="0" w:color="auto"/>
        <w:left w:val="none" w:sz="0" w:space="0" w:color="auto"/>
        <w:bottom w:val="none" w:sz="0" w:space="0" w:color="auto"/>
        <w:right w:val="none" w:sz="0" w:space="0" w:color="auto"/>
      </w:divBdr>
    </w:div>
    <w:div w:id="763035988">
      <w:bodyDiv w:val="1"/>
      <w:marLeft w:val="0"/>
      <w:marRight w:val="0"/>
      <w:marTop w:val="0"/>
      <w:marBottom w:val="0"/>
      <w:divBdr>
        <w:top w:val="none" w:sz="0" w:space="0" w:color="auto"/>
        <w:left w:val="none" w:sz="0" w:space="0" w:color="auto"/>
        <w:bottom w:val="none" w:sz="0" w:space="0" w:color="auto"/>
        <w:right w:val="none" w:sz="0" w:space="0" w:color="auto"/>
      </w:divBdr>
    </w:div>
    <w:div w:id="764689368">
      <w:bodyDiv w:val="1"/>
      <w:marLeft w:val="0"/>
      <w:marRight w:val="0"/>
      <w:marTop w:val="0"/>
      <w:marBottom w:val="0"/>
      <w:divBdr>
        <w:top w:val="none" w:sz="0" w:space="0" w:color="auto"/>
        <w:left w:val="none" w:sz="0" w:space="0" w:color="auto"/>
        <w:bottom w:val="none" w:sz="0" w:space="0" w:color="auto"/>
        <w:right w:val="none" w:sz="0" w:space="0" w:color="auto"/>
      </w:divBdr>
    </w:div>
    <w:div w:id="767694524">
      <w:bodyDiv w:val="1"/>
      <w:marLeft w:val="0"/>
      <w:marRight w:val="0"/>
      <w:marTop w:val="0"/>
      <w:marBottom w:val="0"/>
      <w:divBdr>
        <w:top w:val="none" w:sz="0" w:space="0" w:color="auto"/>
        <w:left w:val="none" w:sz="0" w:space="0" w:color="auto"/>
        <w:bottom w:val="none" w:sz="0" w:space="0" w:color="auto"/>
        <w:right w:val="none" w:sz="0" w:space="0" w:color="auto"/>
      </w:divBdr>
    </w:div>
    <w:div w:id="770511445">
      <w:bodyDiv w:val="1"/>
      <w:marLeft w:val="0"/>
      <w:marRight w:val="0"/>
      <w:marTop w:val="0"/>
      <w:marBottom w:val="0"/>
      <w:divBdr>
        <w:top w:val="none" w:sz="0" w:space="0" w:color="auto"/>
        <w:left w:val="none" w:sz="0" w:space="0" w:color="auto"/>
        <w:bottom w:val="none" w:sz="0" w:space="0" w:color="auto"/>
        <w:right w:val="none" w:sz="0" w:space="0" w:color="auto"/>
      </w:divBdr>
    </w:div>
    <w:div w:id="773742695">
      <w:bodyDiv w:val="1"/>
      <w:marLeft w:val="0"/>
      <w:marRight w:val="0"/>
      <w:marTop w:val="0"/>
      <w:marBottom w:val="0"/>
      <w:divBdr>
        <w:top w:val="none" w:sz="0" w:space="0" w:color="auto"/>
        <w:left w:val="none" w:sz="0" w:space="0" w:color="auto"/>
        <w:bottom w:val="none" w:sz="0" w:space="0" w:color="auto"/>
        <w:right w:val="none" w:sz="0" w:space="0" w:color="auto"/>
      </w:divBdr>
    </w:div>
    <w:div w:id="810486154">
      <w:bodyDiv w:val="1"/>
      <w:marLeft w:val="0"/>
      <w:marRight w:val="0"/>
      <w:marTop w:val="0"/>
      <w:marBottom w:val="0"/>
      <w:divBdr>
        <w:top w:val="none" w:sz="0" w:space="0" w:color="auto"/>
        <w:left w:val="none" w:sz="0" w:space="0" w:color="auto"/>
        <w:bottom w:val="none" w:sz="0" w:space="0" w:color="auto"/>
        <w:right w:val="none" w:sz="0" w:space="0" w:color="auto"/>
      </w:divBdr>
    </w:div>
    <w:div w:id="816260661">
      <w:bodyDiv w:val="1"/>
      <w:marLeft w:val="0"/>
      <w:marRight w:val="0"/>
      <w:marTop w:val="0"/>
      <w:marBottom w:val="0"/>
      <w:divBdr>
        <w:top w:val="none" w:sz="0" w:space="0" w:color="auto"/>
        <w:left w:val="none" w:sz="0" w:space="0" w:color="auto"/>
        <w:bottom w:val="none" w:sz="0" w:space="0" w:color="auto"/>
        <w:right w:val="none" w:sz="0" w:space="0" w:color="auto"/>
      </w:divBdr>
      <w:divsChild>
        <w:div w:id="320890980">
          <w:marLeft w:val="1987"/>
          <w:marRight w:val="0"/>
          <w:marTop w:val="0"/>
          <w:marBottom w:val="120"/>
          <w:divBdr>
            <w:top w:val="none" w:sz="0" w:space="0" w:color="auto"/>
            <w:left w:val="none" w:sz="0" w:space="0" w:color="auto"/>
            <w:bottom w:val="none" w:sz="0" w:space="0" w:color="auto"/>
            <w:right w:val="none" w:sz="0" w:space="0" w:color="auto"/>
          </w:divBdr>
        </w:div>
        <w:div w:id="1587302243">
          <w:marLeft w:val="1987"/>
          <w:marRight w:val="0"/>
          <w:marTop w:val="0"/>
          <w:marBottom w:val="120"/>
          <w:divBdr>
            <w:top w:val="none" w:sz="0" w:space="0" w:color="auto"/>
            <w:left w:val="none" w:sz="0" w:space="0" w:color="auto"/>
            <w:bottom w:val="none" w:sz="0" w:space="0" w:color="auto"/>
            <w:right w:val="none" w:sz="0" w:space="0" w:color="auto"/>
          </w:divBdr>
        </w:div>
      </w:divsChild>
    </w:div>
    <w:div w:id="825509980">
      <w:bodyDiv w:val="1"/>
      <w:marLeft w:val="0"/>
      <w:marRight w:val="0"/>
      <w:marTop w:val="0"/>
      <w:marBottom w:val="0"/>
      <w:divBdr>
        <w:top w:val="none" w:sz="0" w:space="0" w:color="auto"/>
        <w:left w:val="none" w:sz="0" w:space="0" w:color="auto"/>
        <w:bottom w:val="none" w:sz="0" w:space="0" w:color="auto"/>
        <w:right w:val="none" w:sz="0" w:space="0" w:color="auto"/>
      </w:divBdr>
      <w:divsChild>
        <w:div w:id="1099526253">
          <w:marLeft w:val="144"/>
          <w:marRight w:val="0"/>
          <w:marTop w:val="168"/>
          <w:marBottom w:val="0"/>
          <w:divBdr>
            <w:top w:val="none" w:sz="0" w:space="0" w:color="auto"/>
            <w:left w:val="none" w:sz="0" w:space="0" w:color="auto"/>
            <w:bottom w:val="none" w:sz="0" w:space="0" w:color="auto"/>
            <w:right w:val="none" w:sz="0" w:space="0" w:color="auto"/>
          </w:divBdr>
        </w:div>
      </w:divsChild>
    </w:div>
    <w:div w:id="842859416">
      <w:bodyDiv w:val="1"/>
      <w:marLeft w:val="0"/>
      <w:marRight w:val="0"/>
      <w:marTop w:val="0"/>
      <w:marBottom w:val="0"/>
      <w:divBdr>
        <w:top w:val="none" w:sz="0" w:space="0" w:color="auto"/>
        <w:left w:val="none" w:sz="0" w:space="0" w:color="auto"/>
        <w:bottom w:val="none" w:sz="0" w:space="0" w:color="auto"/>
        <w:right w:val="none" w:sz="0" w:space="0" w:color="auto"/>
      </w:divBdr>
    </w:div>
    <w:div w:id="853226587">
      <w:bodyDiv w:val="1"/>
      <w:marLeft w:val="0"/>
      <w:marRight w:val="0"/>
      <w:marTop w:val="0"/>
      <w:marBottom w:val="0"/>
      <w:divBdr>
        <w:top w:val="none" w:sz="0" w:space="0" w:color="auto"/>
        <w:left w:val="none" w:sz="0" w:space="0" w:color="auto"/>
        <w:bottom w:val="none" w:sz="0" w:space="0" w:color="auto"/>
        <w:right w:val="none" w:sz="0" w:space="0" w:color="auto"/>
      </w:divBdr>
    </w:div>
    <w:div w:id="855852252">
      <w:bodyDiv w:val="1"/>
      <w:marLeft w:val="0"/>
      <w:marRight w:val="0"/>
      <w:marTop w:val="0"/>
      <w:marBottom w:val="0"/>
      <w:divBdr>
        <w:top w:val="none" w:sz="0" w:space="0" w:color="auto"/>
        <w:left w:val="none" w:sz="0" w:space="0" w:color="auto"/>
        <w:bottom w:val="none" w:sz="0" w:space="0" w:color="auto"/>
        <w:right w:val="none" w:sz="0" w:space="0" w:color="auto"/>
      </w:divBdr>
      <w:divsChild>
        <w:div w:id="1055085566">
          <w:marLeft w:val="547"/>
          <w:marRight w:val="0"/>
          <w:marTop w:val="0"/>
          <w:marBottom w:val="120"/>
          <w:divBdr>
            <w:top w:val="none" w:sz="0" w:space="0" w:color="auto"/>
            <w:left w:val="none" w:sz="0" w:space="0" w:color="auto"/>
            <w:bottom w:val="none" w:sz="0" w:space="0" w:color="auto"/>
            <w:right w:val="none" w:sz="0" w:space="0" w:color="auto"/>
          </w:divBdr>
        </w:div>
        <w:div w:id="2051756838">
          <w:marLeft w:val="547"/>
          <w:marRight w:val="0"/>
          <w:marTop w:val="0"/>
          <w:marBottom w:val="120"/>
          <w:divBdr>
            <w:top w:val="none" w:sz="0" w:space="0" w:color="auto"/>
            <w:left w:val="none" w:sz="0" w:space="0" w:color="auto"/>
            <w:bottom w:val="none" w:sz="0" w:space="0" w:color="auto"/>
            <w:right w:val="none" w:sz="0" w:space="0" w:color="auto"/>
          </w:divBdr>
        </w:div>
        <w:div w:id="891775300">
          <w:marLeft w:val="547"/>
          <w:marRight w:val="0"/>
          <w:marTop w:val="0"/>
          <w:marBottom w:val="120"/>
          <w:divBdr>
            <w:top w:val="none" w:sz="0" w:space="0" w:color="auto"/>
            <w:left w:val="none" w:sz="0" w:space="0" w:color="auto"/>
            <w:bottom w:val="none" w:sz="0" w:space="0" w:color="auto"/>
            <w:right w:val="none" w:sz="0" w:space="0" w:color="auto"/>
          </w:divBdr>
        </w:div>
        <w:div w:id="307442521">
          <w:marLeft w:val="547"/>
          <w:marRight w:val="0"/>
          <w:marTop w:val="0"/>
          <w:marBottom w:val="120"/>
          <w:divBdr>
            <w:top w:val="none" w:sz="0" w:space="0" w:color="auto"/>
            <w:left w:val="none" w:sz="0" w:space="0" w:color="auto"/>
            <w:bottom w:val="none" w:sz="0" w:space="0" w:color="auto"/>
            <w:right w:val="none" w:sz="0" w:space="0" w:color="auto"/>
          </w:divBdr>
        </w:div>
        <w:div w:id="589965652">
          <w:marLeft w:val="547"/>
          <w:marRight w:val="0"/>
          <w:marTop w:val="0"/>
          <w:marBottom w:val="120"/>
          <w:divBdr>
            <w:top w:val="none" w:sz="0" w:space="0" w:color="auto"/>
            <w:left w:val="none" w:sz="0" w:space="0" w:color="auto"/>
            <w:bottom w:val="none" w:sz="0" w:space="0" w:color="auto"/>
            <w:right w:val="none" w:sz="0" w:space="0" w:color="auto"/>
          </w:divBdr>
        </w:div>
        <w:div w:id="1376851384">
          <w:marLeft w:val="547"/>
          <w:marRight w:val="0"/>
          <w:marTop w:val="0"/>
          <w:marBottom w:val="120"/>
          <w:divBdr>
            <w:top w:val="none" w:sz="0" w:space="0" w:color="auto"/>
            <w:left w:val="none" w:sz="0" w:space="0" w:color="auto"/>
            <w:bottom w:val="none" w:sz="0" w:space="0" w:color="auto"/>
            <w:right w:val="none" w:sz="0" w:space="0" w:color="auto"/>
          </w:divBdr>
        </w:div>
      </w:divsChild>
    </w:div>
    <w:div w:id="858083290">
      <w:bodyDiv w:val="1"/>
      <w:marLeft w:val="0"/>
      <w:marRight w:val="0"/>
      <w:marTop w:val="0"/>
      <w:marBottom w:val="0"/>
      <w:divBdr>
        <w:top w:val="none" w:sz="0" w:space="0" w:color="auto"/>
        <w:left w:val="none" w:sz="0" w:space="0" w:color="auto"/>
        <w:bottom w:val="none" w:sz="0" w:space="0" w:color="auto"/>
        <w:right w:val="none" w:sz="0" w:space="0" w:color="auto"/>
      </w:divBdr>
    </w:div>
    <w:div w:id="868566438">
      <w:bodyDiv w:val="1"/>
      <w:marLeft w:val="0"/>
      <w:marRight w:val="0"/>
      <w:marTop w:val="0"/>
      <w:marBottom w:val="0"/>
      <w:divBdr>
        <w:top w:val="none" w:sz="0" w:space="0" w:color="auto"/>
        <w:left w:val="none" w:sz="0" w:space="0" w:color="auto"/>
        <w:bottom w:val="none" w:sz="0" w:space="0" w:color="auto"/>
        <w:right w:val="none" w:sz="0" w:space="0" w:color="auto"/>
      </w:divBdr>
    </w:div>
    <w:div w:id="872308275">
      <w:bodyDiv w:val="1"/>
      <w:marLeft w:val="0"/>
      <w:marRight w:val="0"/>
      <w:marTop w:val="0"/>
      <w:marBottom w:val="0"/>
      <w:divBdr>
        <w:top w:val="none" w:sz="0" w:space="0" w:color="auto"/>
        <w:left w:val="none" w:sz="0" w:space="0" w:color="auto"/>
        <w:bottom w:val="none" w:sz="0" w:space="0" w:color="auto"/>
        <w:right w:val="none" w:sz="0" w:space="0" w:color="auto"/>
      </w:divBdr>
    </w:div>
    <w:div w:id="883756296">
      <w:bodyDiv w:val="1"/>
      <w:marLeft w:val="0"/>
      <w:marRight w:val="0"/>
      <w:marTop w:val="0"/>
      <w:marBottom w:val="0"/>
      <w:divBdr>
        <w:top w:val="none" w:sz="0" w:space="0" w:color="auto"/>
        <w:left w:val="none" w:sz="0" w:space="0" w:color="auto"/>
        <w:bottom w:val="none" w:sz="0" w:space="0" w:color="auto"/>
        <w:right w:val="none" w:sz="0" w:space="0" w:color="auto"/>
      </w:divBdr>
    </w:div>
    <w:div w:id="884675830">
      <w:bodyDiv w:val="1"/>
      <w:marLeft w:val="0"/>
      <w:marRight w:val="0"/>
      <w:marTop w:val="0"/>
      <w:marBottom w:val="0"/>
      <w:divBdr>
        <w:top w:val="none" w:sz="0" w:space="0" w:color="auto"/>
        <w:left w:val="none" w:sz="0" w:space="0" w:color="auto"/>
        <w:bottom w:val="none" w:sz="0" w:space="0" w:color="auto"/>
        <w:right w:val="none" w:sz="0" w:space="0" w:color="auto"/>
      </w:divBdr>
    </w:div>
    <w:div w:id="885338189">
      <w:bodyDiv w:val="1"/>
      <w:marLeft w:val="0"/>
      <w:marRight w:val="0"/>
      <w:marTop w:val="0"/>
      <w:marBottom w:val="0"/>
      <w:divBdr>
        <w:top w:val="none" w:sz="0" w:space="0" w:color="auto"/>
        <w:left w:val="none" w:sz="0" w:space="0" w:color="auto"/>
        <w:bottom w:val="none" w:sz="0" w:space="0" w:color="auto"/>
        <w:right w:val="none" w:sz="0" w:space="0" w:color="auto"/>
      </w:divBdr>
    </w:div>
    <w:div w:id="888490050">
      <w:bodyDiv w:val="1"/>
      <w:marLeft w:val="0"/>
      <w:marRight w:val="0"/>
      <w:marTop w:val="0"/>
      <w:marBottom w:val="0"/>
      <w:divBdr>
        <w:top w:val="none" w:sz="0" w:space="0" w:color="auto"/>
        <w:left w:val="none" w:sz="0" w:space="0" w:color="auto"/>
        <w:bottom w:val="none" w:sz="0" w:space="0" w:color="auto"/>
        <w:right w:val="none" w:sz="0" w:space="0" w:color="auto"/>
      </w:divBdr>
    </w:div>
    <w:div w:id="900016605">
      <w:bodyDiv w:val="1"/>
      <w:marLeft w:val="0"/>
      <w:marRight w:val="0"/>
      <w:marTop w:val="0"/>
      <w:marBottom w:val="0"/>
      <w:divBdr>
        <w:top w:val="none" w:sz="0" w:space="0" w:color="auto"/>
        <w:left w:val="none" w:sz="0" w:space="0" w:color="auto"/>
        <w:bottom w:val="none" w:sz="0" w:space="0" w:color="auto"/>
        <w:right w:val="none" w:sz="0" w:space="0" w:color="auto"/>
      </w:divBdr>
      <w:divsChild>
        <w:div w:id="777141120">
          <w:marLeft w:val="720"/>
          <w:marRight w:val="0"/>
          <w:marTop w:val="0"/>
          <w:marBottom w:val="120"/>
          <w:divBdr>
            <w:top w:val="none" w:sz="0" w:space="0" w:color="auto"/>
            <w:left w:val="none" w:sz="0" w:space="0" w:color="auto"/>
            <w:bottom w:val="none" w:sz="0" w:space="0" w:color="auto"/>
            <w:right w:val="none" w:sz="0" w:space="0" w:color="auto"/>
          </w:divBdr>
        </w:div>
        <w:div w:id="1488982768">
          <w:marLeft w:val="720"/>
          <w:marRight w:val="0"/>
          <w:marTop w:val="0"/>
          <w:marBottom w:val="120"/>
          <w:divBdr>
            <w:top w:val="none" w:sz="0" w:space="0" w:color="auto"/>
            <w:left w:val="none" w:sz="0" w:space="0" w:color="auto"/>
            <w:bottom w:val="none" w:sz="0" w:space="0" w:color="auto"/>
            <w:right w:val="none" w:sz="0" w:space="0" w:color="auto"/>
          </w:divBdr>
        </w:div>
        <w:div w:id="1007756234">
          <w:marLeft w:val="720"/>
          <w:marRight w:val="0"/>
          <w:marTop w:val="0"/>
          <w:marBottom w:val="120"/>
          <w:divBdr>
            <w:top w:val="none" w:sz="0" w:space="0" w:color="auto"/>
            <w:left w:val="none" w:sz="0" w:space="0" w:color="auto"/>
            <w:bottom w:val="none" w:sz="0" w:space="0" w:color="auto"/>
            <w:right w:val="none" w:sz="0" w:space="0" w:color="auto"/>
          </w:divBdr>
        </w:div>
        <w:div w:id="1093163112">
          <w:marLeft w:val="720"/>
          <w:marRight w:val="0"/>
          <w:marTop w:val="0"/>
          <w:marBottom w:val="120"/>
          <w:divBdr>
            <w:top w:val="none" w:sz="0" w:space="0" w:color="auto"/>
            <w:left w:val="none" w:sz="0" w:space="0" w:color="auto"/>
            <w:bottom w:val="none" w:sz="0" w:space="0" w:color="auto"/>
            <w:right w:val="none" w:sz="0" w:space="0" w:color="auto"/>
          </w:divBdr>
        </w:div>
      </w:divsChild>
    </w:div>
    <w:div w:id="902763950">
      <w:bodyDiv w:val="1"/>
      <w:marLeft w:val="0"/>
      <w:marRight w:val="0"/>
      <w:marTop w:val="0"/>
      <w:marBottom w:val="0"/>
      <w:divBdr>
        <w:top w:val="none" w:sz="0" w:space="0" w:color="auto"/>
        <w:left w:val="none" w:sz="0" w:space="0" w:color="auto"/>
        <w:bottom w:val="none" w:sz="0" w:space="0" w:color="auto"/>
        <w:right w:val="none" w:sz="0" w:space="0" w:color="auto"/>
      </w:divBdr>
      <w:divsChild>
        <w:div w:id="2000189259">
          <w:marLeft w:val="1166"/>
          <w:marRight w:val="0"/>
          <w:marTop w:val="0"/>
          <w:marBottom w:val="0"/>
          <w:divBdr>
            <w:top w:val="none" w:sz="0" w:space="0" w:color="auto"/>
            <w:left w:val="none" w:sz="0" w:space="0" w:color="auto"/>
            <w:bottom w:val="none" w:sz="0" w:space="0" w:color="auto"/>
            <w:right w:val="none" w:sz="0" w:space="0" w:color="auto"/>
          </w:divBdr>
        </w:div>
        <w:div w:id="684206066">
          <w:marLeft w:val="1166"/>
          <w:marRight w:val="0"/>
          <w:marTop w:val="0"/>
          <w:marBottom w:val="0"/>
          <w:divBdr>
            <w:top w:val="none" w:sz="0" w:space="0" w:color="auto"/>
            <w:left w:val="none" w:sz="0" w:space="0" w:color="auto"/>
            <w:bottom w:val="none" w:sz="0" w:space="0" w:color="auto"/>
            <w:right w:val="none" w:sz="0" w:space="0" w:color="auto"/>
          </w:divBdr>
        </w:div>
        <w:div w:id="1161044466">
          <w:marLeft w:val="1166"/>
          <w:marRight w:val="0"/>
          <w:marTop w:val="0"/>
          <w:marBottom w:val="0"/>
          <w:divBdr>
            <w:top w:val="none" w:sz="0" w:space="0" w:color="auto"/>
            <w:left w:val="none" w:sz="0" w:space="0" w:color="auto"/>
            <w:bottom w:val="none" w:sz="0" w:space="0" w:color="auto"/>
            <w:right w:val="none" w:sz="0" w:space="0" w:color="auto"/>
          </w:divBdr>
        </w:div>
        <w:div w:id="457140062">
          <w:marLeft w:val="1166"/>
          <w:marRight w:val="0"/>
          <w:marTop w:val="0"/>
          <w:marBottom w:val="0"/>
          <w:divBdr>
            <w:top w:val="none" w:sz="0" w:space="0" w:color="auto"/>
            <w:left w:val="none" w:sz="0" w:space="0" w:color="auto"/>
            <w:bottom w:val="none" w:sz="0" w:space="0" w:color="auto"/>
            <w:right w:val="none" w:sz="0" w:space="0" w:color="auto"/>
          </w:divBdr>
        </w:div>
        <w:div w:id="1057363398">
          <w:marLeft w:val="1166"/>
          <w:marRight w:val="0"/>
          <w:marTop w:val="0"/>
          <w:marBottom w:val="0"/>
          <w:divBdr>
            <w:top w:val="none" w:sz="0" w:space="0" w:color="auto"/>
            <w:left w:val="none" w:sz="0" w:space="0" w:color="auto"/>
            <w:bottom w:val="none" w:sz="0" w:space="0" w:color="auto"/>
            <w:right w:val="none" w:sz="0" w:space="0" w:color="auto"/>
          </w:divBdr>
        </w:div>
        <w:div w:id="953483649">
          <w:marLeft w:val="1166"/>
          <w:marRight w:val="0"/>
          <w:marTop w:val="0"/>
          <w:marBottom w:val="0"/>
          <w:divBdr>
            <w:top w:val="none" w:sz="0" w:space="0" w:color="auto"/>
            <w:left w:val="none" w:sz="0" w:space="0" w:color="auto"/>
            <w:bottom w:val="none" w:sz="0" w:space="0" w:color="auto"/>
            <w:right w:val="none" w:sz="0" w:space="0" w:color="auto"/>
          </w:divBdr>
        </w:div>
        <w:div w:id="1010255558">
          <w:marLeft w:val="1166"/>
          <w:marRight w:val="0"/>
          <w:marTop w:val="0"/>
          <w:marBottom w:val="0"/>
          <w:divBdr>
            <w:top w:val="none" w:sz="0" w:space="0" w:color="auto"/>
            <w:left w:val="none" w:sz="0" w:space="0" w:color="auto"/>
            <w:bottom w:val="none" w:sz="0" w:space="0" w:color="auto"/>
            <w:right w:val="none" w:sz="0" w:space="0" w:color="auto"/>
          </w:divBdr>
        </w:div>
        <w:div w:id="1612586181">
          <w:marLeft w:val="1166"/>
          <w:marRight w:val="0"/>
          <w:marTop w:val="0"/>
          <w:marBottom w:val="0"/>
          <w:divBdr>
            <w:top w:val="none" w:sz="0" w:space="0" w:color="auto"/>
            <w:left w:val="none" w:sz="0" w:space="0" w:color="auto"/>
            <w:bottom w:val="none" w:sz="0" w:space="0" w:color="auto"/>
            <w:right w:val="none" w:sz="0" w:space="0" w:color="auto"/>
          </w:divBdr>
        </w:div>
      </w:divsChild>
    </w:div>
    <w:div w:id="902764177">
      <w:bodyDiv w:val="1"/>
      <w:marLeft w:val="0"/>
      <w:marRight w:val="0"/>
      <w:marTop w:val="0"/>
      <w:marBottom w:val="0"/>
      <w:divBdr>
        <w:top w:val="none" w:sz="0" w:space="0" w:color="auto"/>
        <w:left w:val="none" w:sz="0" w:space="0" w:color="auto"/>
        <w:bottom w:val="none" w:sz="0" w:space="0" w:color="auto"/>
        <w:right w:val="none" w:sz="0" w:space="0" w:color="auto"/>
      </w:divBdr>
    </w:div>
    <w:div w:id="905802157">
      <w:bodyDiv w:val="1"/>
      <w:marLeft w:val="0"/>
      <w:marRight w:val="0"/>
      <w:marTop w:val="0"/>
      <w:marBottom w:val="0"/>
      <w:divBdr>
        <w:top w:val="none" w:sz="0" w:space="0" w:color="auto"/>
        <w:left w:val="none" w:sz="0" w:space="0" w:color="auto"/>
        <w:bottom w:val="none" w:sz="0" w:space="0" w:color="auto"/>
        <w:right w:val="none" w:sz="0" w:space="0" w:color="auto"/>
      </w:divBdr>
      <w:divsChild>
        <w:div w:id="1229727484">
          <w:marLeft w:val="446"/>
          <w:marRight w:val="0"/>
          <w:marTop w:val="0"/>
          <w:marBottom w:val="0"/>
          <w:divBdr>
            <w:top w:val="none" w:sz="0" w:space="0" w:color="auto"/>
            <w:left w:val="none" w:sz="0" w:space="0" w:color="auto"/>
            <w:bottom w:val="none" w:sz="0" w:space="0" w:color="auto"/>
            <w:right w:val="none" w:sz="0" w:space="0" w:color="auto"/>
          </w:divBdr>
        </w:div>
      </w:divsChild>
    </w:div>
    <w:div w:id="916477237">
      <w:bodyDiv w:val="1"/>
      <w:marLeft w:val="0"/>
      <w:marRight w:val="0"/>
      <w:marTop w:val="0"/>
      <w:marBottom w:val="0"/>
      <w:divBdr>
        <w:top w:val="none" w:sz="0" w:space="0" w:color="auto"/>
        <w:left w:val="none" w:sz="0" w:space="0" w:color="auto"/>
        <w:bottom w:val="none" w:sz="0" w:space="0" w:color="auto"/>
        <w:right w:val="none" w:sz="0" w:space="0" w:color="auto"/>
      </w:divBdr>
    </w:div>
    <w:div w:id="916592409">
      <w:bodyDiv w:val="1"/>
      <w:marLeft w:val="0"/>
      <w:marRight w:val="0"/>
      <w:marTop w:val="0"/>
      <w:marBottom w:val="0"/>
      <w:divBdr>
        <w:top w:val="none" w:sz="0" w:space="0" w:color="auto"/>
        <w:left w:val="none" w:sz="0" w:space="0" w:color="auto"/>
        <w:bottom w:val="none" w:sz="0" w:space="0" w:color="auto"/>
        <w:right w:val="none" w:sz="0" w:space="0" w:color="auto"/>
      </w:divBdr>
    </w:div>
    <w:div w:id="919143997">
      <w:bodyDiv w:val="1"/>
      <w:marLeft w:val="0"/>
      <w:marRight w:val="0"/>
      <w:marTop w:val="0"/>
      <w:marBottom w:val="0"/>
      <w:divBdr>
        <w:top w:val="none" w:sz="0" w:space="0" w:color="auto"/>
        <w:left w:val="none" w:sz="0" w:space="0" w:color="auto"/>
        <w:bottom w:val="none" w:sz="0" w:space="0" w:color="auto"/>
        <w:right w:val="none" w:sz="0" w:space="0" w:color="auto"/>
      </w:divBdr>
      <w:divsChild>
        <w:div w:id="309021462">
          <w:marLeft w:val="360"/>
          <w:marRight w:val="0"/>
          <w:marTop w:val="0"/>
          <w:marBottom w:val="0"/>
          <w:divBdr>
            <w:top w:val="none" w:sz="0" w:space="0" w:color="auto"/>
            <w:left w:val="none" w:sz="0" w:space="0" w:color="auto"/>
            <w:bottom w:val="none" w:sz="0" w:space="0" w:color="auto"/>
            <w:right w:val="none" w:sz="0" w:space="0" w:color="auto"/>
          </w:divBdr>
        </w:div>
      </w:divsChild>
    </w:div>
    <w:div w:id="923345857">
      <w:bodyDiv w:val="1"/>
      <w:marLeft w:val="0"/>
      <w:marRight w:val="0"/>
      <w:marTop w:val="0"/>
      <w:marBottom w:val="0"/>
      <w:divBdr>
        <w:top w:val="none" w:sz="0" w:space="0" w:color="auto"/>
        <w:left w:val="none" w:sz="0" w:space="0" w:color="auto"/>
        <w:bottom w:val="none" w:sz="0" w:space="0" w:color="auto"/>
        <w:right w:val="none" w:sz="0" w:space="0" w:color="auto"/>
      </w:divBdr>
      <w:divsChild>
        <w:div w:id="1768652730">
          <w:marLeft w:val="1987"/>
          <w:marRight w:val="0"/>
          <w:marTop w:val="0"/>
          <w:marBottom w:val="120"/>
          <w:divBdr>
            <w:top w:val="none" w:sz="0" w:space="0" w:color="auto"/>
            <w:left w:val="none" w:sz="0" w:space="0" w:color="auto"/>
            <w:bottom w:val="none" w:sz="0" w:space="0" w:color="auto"/>
            <w:right w:val="none" w:sz="0" w:space="0" w:color="auto"/>
          </w:divBdr>
        </w:div>
        <w:div w:id="703139822">
          <w:marLeft w:val="1987"/>
          <w:marRight w:val="0"/>
          <w:marTop w:val="0"/>
          <w:marBottom w:val="120"/>
          <w:divBdr>
            <w:top w:val="none" w:sz="0" w:space="0" w:color="auto"/>
            <w:left w:val="none" w:sz="0" w:space="0" w:color="auto"/>
            <w:bottom w:val="none" w:sz="0" w:space="0" w:color="auto"/>
            <w:right w:val="none" w:sz="0" w:space="0" w:color="auto"/>
          </w:divBdr>
        </w:div>
        <w:div w:id="759301468">
          <w:marLeft w:val="1987"/>
          <w:marRight w:val="0"/>
          <w:marTop w:val="0"/>
          <w:marBottom w:val="120"/>
          <w:divBdr>
            <w:top w:val="none" w:sz="0" w:space="0" w:color="auto"/>
            <w:left w:val="none" w:sz="0" w:space="0" w:color="auto"/>
            <w:bottom w:val="none" w:sz="0" w:space="0" w:color="auto"/>
            <w:right w:val="none" w:sz="0" w:space="0" w:color="auto"/>
          </w:divBdr>
        </w:div>
      </w:divsChild>
    </w:div>
    <w:div w:id="924806317">
      <w:bodyDiv w:val="1"/>
      <w:marLeft w:val="0"/>
      <w:marRight w:val="0"/>
      <w:marTop w:val="0"/>
      <w:marBottom w:val="0"/>
      <w:divBdr>
        <w:top w:val="none" w:sz="0" w:space="0" w:color="auto"/>
        <w:left w:val="none" w:sz="0" w:space="0" w:color="auto"/>
        <w:bottom w:val="none" w:sz="0" w:space="0" w:color="auto"/>
        <w:right w:val="none" w:sz="0" w:space="0" w:color="auto"/>
      </w:divBdr>
    </w:div>
    <w:div w:id="958799393">
      <w:bodyDiv w:val="1"/>
      <w:marLeft w:val="0"/>
      <w:marRight w:val="0"/>
      <w:marTop w:val="0"/>
      <w:marBottom w:val="0"/>
      <w:divBdr>
        <w:top w:val="none" w:sz="0" w:space="0" w:color="auto"/>
        <w:left w:val="none" w:sz="0" w:space="0" w:color="auto"/>
        <w:bottom w:val="none" w:sz="0" w:space="0" w:color="auto"/>
        <w:right w:val="none" w:sz="0" w:space="0" w:color="auto"/>
      </w:divBdr>
      <w:divsChild>
        <w:div w:id="1237979022">
          <w:marLeft w:val="720"/>
          <w:marRight w:val="0"/>
          <w:marTop w:val="0"/>
          <w:marBottom w:val="120"/>
          <w:divBdr>
            <w:top w:val="none" w:sz="0" w:space="0" w:color="auto"/>
            <w:left w:val="none" w:sz="0" w:space="0" w:color="auto"/>
            <w:bottom w:val="none" w:sz="0" w:space="0" w:color="auto"/>
            <w:right w:val="none" w:sz="0" w:space="0" w:color="auto"/>
          </w:divBdr>
        </w:div>
      </w:divsChild>
    </w:div>
    <w:div w:id="969480879">
      <w:bodyDiv w:val="1"/>
      <w:marLeft w:val="0"/>
      <w:marRight w:val="0"/>
      <w:marTop w:val="0"/>
      <w:marBottom w:val="0"/>
      <w:divBdr>
        <w:top w:val="none" w:sz="0" w:space="0" w:color="auto"/>
        <w:left w:val="none" w:sz="0" w:space="0" w:color="auto"/>
        <w:bottom w:val="none" w:sz="0" w:space="0" w:color="auto"/>
        <w:right w:val="none" w:sz="0" w:space="0" w:color="auto"/>
      </w:divBdr>
      <w:divsChild>
        <w:div w:id="1849055526">
          <w:marLeft w:val="547"/>
          <w:marRight w:val="0"/>
          <w:marTop w:val="0"/>
          <w:marBottom w:val="0"/>
          <w:divBdr>
            <w:top w:val="none" w:sz="0" w:space="0" w:color="auto"/>
            <w:left w:val="none" w:sz="0" w:space="0" w:color="auto"/>
            <w:bottom w:val="none" w:sz="0" w:space="0" w:color="auto"/>
            <w:right w:val="none" w:sz="0" w:space="0" w:color="auto"/>
          </w:divBdr>
        </w:div>
        <w:div w:id="439837481">
          <w:marLeft w:val="547"/>
          <w:marRight w:val="0"/>
          <w:marTop w:val="0"/>
          <w:marBottom w:val="0"/>
          <w:divBdr>
            <w:top w:val="none" w:sz="0" w:space="0" w:color="auto"/>
            <w:left w:val="none" w:sz="0" w:space="0" w:color="auto"/>
            <w:bottom w:val="none" w:sz="0" w:space="0" w:color="auto"/>
            <w:right w:val="none" w:sz="0" w:space="0" w:color="auto"/>
          </w:divBdr>
        </w:div>
      </w:divsChild>
    </w:div>
    <w:div w:id="969629145">
      <w:bodyDiv w:val="1"/>
      <w:marLeft w:val="0"/>
      <w:marRight w:val="0"/>
      <w:marTop w:val="0"/>
      <w:marBottom w:val="0"/>
      <w:divBdr>
        <w:top w:val="none" w:sz="0" w:space="0" w:color="auto"/>
        <w:left w:val="none" w:sz="0" w:space="0" w:color="auto"/>
        <w:bottom w:val="none" w:sz="0" w:space="0" w:color="auto"/>
        <w:right w:val="none" w:sz="0" w:space="0" w:color="auto"/>
      </w:divBdr>
    </w:div>
    <w:div w:id="979964961">
      <w:bodyDiv w:val="1"/>
      <w:marLeft w:val="0"/>
      <w:marRight w:val="0"/>
      <w:marTop w:val="0"/>
      <w:marBottom w:val="0"/>
      <w:divBdr>
        <w:top w:val="none" w:sz="0" w:space="0" w:color="auto"/>
        <w:left w:val="none" w:sz="0" w:space="0" w:color="auto"/>
        <w:bottom w:val="none" w:sz="0" w:space="0" w:color="auto"/>
        <w:right w:val="none" w:sz="0" w:space="0" w:color="auto"/>
      </w:divBdr>
      <w:divsChild>
        <w:div w:id="1329600290">
          <w:marLeft w:val="360"/>
          <w:marRight w:val="0"/>
          <w:marTop w:val="0"/>
          <w:marBottom w:val="0"/>
          <w:divBdr>
            <w:top w:val="none" w:sz="0" w:space="0" w:color="auto"/>
            <w:left w:val="none" w:sz="0" w:space="0" w:color="auto"/>
            <w:bottom w:val="none" w:sz="0" w:space="0" w:color="auto"/>
            <w:right w:val="none" w:sz="0" w:space="0" w:color="auto"/>
          </w:divBdr>
        </w:div>
        <w:div w:id="1947688319">
          <w:marLeft w:val="360"/>
          <w:marRight w:val="0"/>
          <w:marTop w:val="0"/>
          <w:marBottom w:val="0"/>
          <w:divBdr>
            <w:top w:val="none" w:sz="0" w:space="0" w:color="auto"/>
            <w:left w:val="none" w:sz="0" w:space="0" w:color="auto"/>
            <w:bottom w:val="none" w:sz="0" w:space="0" w:color="auto"/>
            <w:right w:val="none" w:sz="0" w:space="0" w:color="auto"/>
          </w:divBdr>
        </w:div>
        <w:div w:id="346447995">
          <w:marLeft w:val="706"/>
          <w:marRight w:val="0"/>
          <w:marTop w:val="60"/>
          <w:marBottom w:val="60"/>
          <w:divBdr>
            <w:top w:val="none" w:sz="0" w:space="0" w:color="auto"/>
            <w:left w:val="none" w:sz="0" w:space="0" w:color="auto"/>
            <w:bottom w:val="none" w:sz="0" w:space="0" w:color="auto"/>
            <w:right w:val="none" w:sz="0" w:space="0" w:color="auto"/>
          </w:divBdr>
        </w:div>
        <w:div w:id="1994598138">
          <w:marLeft w:val="706"/>
          <w:marRight w:val="0"/>
          <w:marTop w:val="60"/>
          <w:marBottom w:val="60"/>
          <w:divBdr>
            <w:top w:val="none" w:sz="0" w:space="0" w:color="auto"/>
            <w:left w:val="none" w:sz="0" w:space="0" w:color="auto"/>
            <w:bottom w:val="none" w:sz="0" w:space="0" w:color="auto"/>
            <w:right w:val="none" w:sz="0" w:space="0" w:color="auto"/>
          </w:divBdr>
        </w:div>
        <w:div w:id="1252083688">
          <w:marLeft w:val="706"/>
          <w:marRight w:val="0"/>
          <w:marTop w:val="60"/>
          <w:marBottom w:val="60"/>
          <w:divBdr>
            <w:top w:val="none" w:sz="0" w:space="0" w:color="auto"/>
            <w:left w:val="none" w:sz="0" w:space="0" w:color="auto"/>
            <w:bottom w:val="none" w:sz="0" w:space="0" w:color="auto"/>
            <w:right w:val="none" w:sz="0" w:space="0" w:color="auto"/>
          </w:divBdr>
        </w:div>
      </w:divsChild>
    </w:div>
    <w:div w:id="981547432">
      <w:bodyDiv w:val="1"/>
      <w:marLeft w:val="0"/>
      <w:marRight w:val="0"/>
      <w:marTop w:val="0"/>
      <w:marBottom w:val="0"/>
      <w:divBdr>
        <w:top w:val="none" w:sz="0" w:space="0" w:color="auto"/>
        <w:left w:val="none" w:sz="0" w:space="0" w:color="auto"/>
        <w:bottom w:val="none" w:sz="0" w:space="0" w:color="auto"/>
        <w:right w:val="none" w:sz="0" w:space="0" w:color="auto"/>
      </w:divBdr>
      <w:divsChild>
        <w:div w:id="1575774092">
          <w:marLeft w:val="288"/>
          <w:marRight w:val="0"/>
          <w:marTop w:val="0"/>
          <w:marBottom w:val="120"/>
          <w:divBdr>
            <w:top w:val="none" w:sz="0" w:space="0" w:color="auto"/>
            <w:left w:val="none" w:sz="0" w:space="0" w:color="auto"/>
            <w:bottom w:val="none" w:sz="0" w:space="0" w:color="auto"/>
            <w:right w:val="none" w:sz="0" w:space="0" w:color="auto"/>
          </w:divBdr>
        </w:div>
        <w:div w:id="1570115066">
          <w:marLeft w:val="288"/>
          <w:marRight w:val="0"/>
          <w:marTop w:val="0"/>
          <w:marBottom w:val="120"/>
          <w:divBdr>
            <w:top w:val="none" w:sz="0" w:space="0" w:color="auto"/>
            <w:left w:val="none" w:sz="0" w:space="0" w:color="auto"/>
            <w:bottom w:val="none" w:sz="0" w:space="0" w:color="auto"/>
            <w:right w:val="none" w:sz="0" w:space="0" w:color="auto"/>
          </w:divBdr>
        </w:div>
        <w:div w:id="2032873273">
          <w:marLeft w:val="288"/>
          <w:marRight w:val="0"/>
          <w:marTop w:val="0"/>
          <w:marBottom w:val="120"/>
          <w:divBdr>
            <w:top w:val="none" w:sz="0" w:space="0" w:color="auto"/>
            <w:left w:val="none" w:sz="0" w:space="0" w:color="auto"/>
            <w:bottom w:val="none" w:sz="0" w:space="0" w:color="auto"/>
            <w:right w:val="none" w:sz="0" w:space="0" w:color="auto"/>
          </w:divBdr>
        </w:div>
      </w:divsChild>
    </w:div>
    <w:div w:id="982271351">
      <w:bodyDiv w:val="1"/>
      <w:marLeft w:val="0"/>
      <w:marRight w:val="0"/>
      <w:marTop w:val="0"/>
      <w:marBottom w:val="0"/>
      <w:divBdr>
        <w:top w:val="none" w:sz="0" w:space="0" w:color="auto"/>
        <w:left w:val="none" w:sz="0" w:space="0" w:color="auto"/>
        <w:bottom w:val="none" w:sz="0" w:space="0" w:color="auto"/>
        <w:right w:val="none" w:sz="0" w:space="0" w:color="auto"/>
      </w:divBdr>
      <w:divsChild>
        <w:div w:id="455368920">
          <w:marLeft w:val="547"/>
          <w:marRight w:val="0"/>
          <w:marTop w:val="0"/>
          <w:marBottom w:val="0"/>
          <w:divBdr>
            <w:top w:val="none" w:sz="0" w:space="0" w:color="auto"/>
            <w:left w:val="none" w:sz="0" w:space="0" w:color="auto"/>
            <w:bottom w:val="none" w:sz="0" w:space="0" w:color="auto"/>
            <w:right w:val="none" w:sz="0" w:space="0" w:color="auto"/>
          </w:divBdr>
        </w:div>
        <w:div w:id="1754467792">
          <w:marLeft w:val="547"/>
          <w:marRight w:val="0"/>
          <w:marTop w:val="0"/>
          <w:marBottom w:val="0"/>
          <w:divBdr>
            <w:top w:val="none" w:sz="0" w:space="0" w:color="auto"/>
            <w:left w:val="none" w:sz="0" w:space="0" w:color="auto"/>
            <w:bottom w:val="none" w:sz="0" w:space="0" w:color="auto"/>
            <w:right w:val="none" w:sz="0" w:space="0" w:color="auto"/>
          </w:divBdr>
        </w:div>
        <w:div w:id="1842357702">
          <w:marLeft w:val="547"/>
          <w:marRight w:val="0"/>
          <w:marTop w:val="0"/>
          <w:marBottom w:val="0"/>
          <w:divBdr>
            <w:top w:val="none" w:sz="0" w:space="0" w:color="auto"/>
            <w:left w:val="none" w:sz="0" w:space="0" w:color="auto"/>
            <w:bottom w:val="none" w:sz="0" w:space="0" w:color="auto"/>
            <w:right w:val="none" w:sz="0" w:space="0" w:color="auto"/>
          </w:divBdr>
        </w:div>
      </w:divsChild>
    </w:div>
    <w:div w:id="988092729">
      <w:bodyDiv w:val="1"/>
      <w:marLeft w:val="0"/>
      <w:marRight w:val="0"/>
      <w:marTop w:val="0"/>
      <w:marBottom w:val="0"/>
      <w:divBdr>
        <w:top w:val="none" w:sz="0" w:space="0" w:color="auto"/>
        <w:left w:val="none" w:sz="0" w:space="0" w:color="auto"/>
        <w:bottom w:val="none" w:sz="0" w:space="0" w:color="auto"/>
        <w:right w:val="none" w:sz="0" w:space="0" w:color="auto"/>
      </w:divBdr>
    </w:div>
    <w:div w:id="1011034433">
      <w:bodyDiv w:val="1"/>
      <w:marLeft w:val="0"/>
      <w:marRight w:val="0"/>
      <w:marTop w:val="0"/>
      <w:marBottom w:val="0"/>
      <w:divBdr>
        <w:top w:val="none" w:sz="0" w:space="0" w:color="auto"/>
        <w:left w:val="none" w:sz="0" w:space="0" w:color="auto"/>
        <w:bottom w:val="none" w:sz="0" w:space="0" w:color="auto"/>
        <w:right w:val="none" w:sz="0" w:space="0" w:color="auto"/>
      </w:divBdr>
    </w:div>
    <w:div w:id="1021978697">
      <w:bodyDiv w:val="1"/>
      <w:marLeft w:val="0"/>
      <w:marRight w:val="0"/>
      <w:marTop w:val="0"/>
      <w:marBottom w:val="0"/>
      <w:divBdr>
        <w:top w:val="none" w:sz="0" w:space="0" w:color="auto"/>
        <w:left w:val="none" w:sz="0" w:space="0" w:color="auto"/>
        <w:bottom w:val="none" w:sz="0" w:space="0" w:color="auto"/>
        <w:right w:val="none" w:sz="0" w:space="0" w:color="auto"/>
      </w:divBdr>
      <w:divsChild>
        <w:div w:id="1809122836">
          <w:marLeft w:val="547"/>
          <w:marRight w:val="0"/>
          <w:marTop w:val="0"/>
          <w:marBottom w:val="0"/>
          <w:divBdr>
            <w:top w:val="none" w:sz="0" w:space="0" w:color="auto"/>
            <w:left w:val="none" w:sz="0" w:space="0" w:color="auto"/>
            <w:bottom w:val="none" w:sz="0" w:space="0" w:color="auto"/>
            <w:right w:val="none" w:sz="0" w:space="0" w:color="auto"/>
          </w:divBdr>
        </w:div>
      </w:divsChild>
    </w:div>
    <w:div w:id="1022828100">
      <w:bodyDiv w:val="1"/>
      <w:marLeft w:val="0"/>
      <w:marRight w:val="0"/>
      <w:marTop w:val="0"/>
      <w:marBottom w:val="0"/>
      <w:divBdr>
        <w:top w:val="none" w:sz="0" w:space="0" w:color="auto"/>
        <w:left w:val="none" w:sz="0" w:space="0" w:color="auto"/>
        <w:bottom w:val="none" w:sz="0" w:space="0" w:color="auto"/>
        <w:right w:val="none" w:sz="0" w:space="0" w:color="auto"/>
      </w:divBdr>
      <w:divsChild>
        <w:div w:id="388113685">
          <w:marLeft w:val="547"/>
          <w:marRight w:val="0"/>
          <w:marTop w:val="0"/>
          <w:marBottom w:val="240"/>
          <w:divBdr>
            <w:top w:val="none" w:sz="0" w:space="0" w:color="auto"/>
            <w:left w:val="none" w:sz="0" w:space="0" w:color="auto"/>
            <w:bottom w:val="none" w:sz="0" w:space="0" w:color="auto"/>
            <w:right w:val="none" w:sz="0" w:space="0" w:color="auto"/>
          </w:divBdr>
        </w:div>
        <w:div w:id="1026173459">
          <w:marLeft w:val="547"/>
          <w:marRight w:val="0"/>
          <w:marTop w:val="0"/>
          <w:marBottom w:val="240"/>
          <w:divBdr>
            <w:top w:val="none" w:sz="0" w:space="0" w:color="auto"/>
            <w:left w:val="none" w:sz="0" w:space="0" w:color="auto"/>
            <w:bottom w:val="none" w:sz="0" w:space="0" w:color="auto"/>
            <w:right w:val="none" w:sz="0" w:space="0" w:color="auto"/>
          </w:divBdr>
        </w:div>
        <w:div w:id="1391728149">
          <w:marLeft w:val="547"/>
          <w:marRight w:val="0"/>
          <w:marTop w:val="0"/>
          <w:marBottom w:val="240"/>
          <w:divBdr>
            <w:top w:val="none" w:sz="0" w:space="0" w:color="auto"/>
            <w:left w:val="none" w:sz="0" w:space="0" w:color="auto"/>
            <w:bottom w:val="none" w:sz="0" w:space="0" w:color="auto"/>
            <w:right w:val="none" w:sz="0" w:space="0" w:color="auto"/>
          </w:divBdr>
        </w:div>
        <w:div w:id="838546621">
          <w:marLeft w:val="547"/>
          <w:marRight w:val="0"/>
          <w:marTop w:val="0"/>
          <w:marBottom w:val="240"/>
          <w:divBdr>
            <w:top w:val="none" w:sz="0" w:space="0" w:color="auto"/>
            <w:left w:val="none" w:sz="0" w:space="0" w:color="auto"/>
            <w:bottom w:val="none" w:sz="0" w:space="0" w:color="auto"/>
            <w:right w:val="none" w:sz="0" w:space="0" w:color="auto"/>
          </w:divBdr>
        </w:div>
      </w:divsChild>
    </w:div>
    <w:div w:id="1028261671">
      <w:bodyDiv w:val="1"/>
      <w:marLeft w:val="0"/>
      <w:marRight w:val="0"/>
      <w:marTop w:val="0"/>
      <w:marBottom w:val="0"/>
      <w:divBdr>
        <w:top w:val="none" w:sz="0" w:space="0" w:color="auto"/>
        <w:left w:val="none" w:sz="0" w:space="0" w:color="auto"/>
        <w:bottom w:val="none" w:sz="0" w:space="0" w:color="auto"/>
        <w:right w:val="none" w:sz="0" w:space="0" w:color="auto"/>
      </w:divBdr>
    </w:div>
    <w:div w:id="1029648480">
      <w:bodyDiv w:val="1"/>
      <w:marLeft w:val="0"/>
      <w:marRight w:val="0"/>
      <w:marTop w:val="0"/>
      <w:marBottom w:val="0"/>
      <w:divBdr>
        <w:top w:val="none" w:sz="0" w:space="0" w:color="auto"/>
        <w:left w:val="none" w:sz="0" w:space="0" w:color="auto"/>
        <w:bottom w:val="none" w:sz="0" w:space="0" w:color="auto"/>
        <w:right w:val="none" w:sz="0" w:space="0" w:color="auto"/>
      </w:divBdr>
    </w:div>
    <w:div w:id="1038315035">
      <w:bodyDiv w:val="1"/>
      <w:marLeft w:val="0"/>
      <w:marRight w:val="0"/>
      <w:marTop w:val="0"/>
      <w:marBottom w:val="0"/>
      <w:divBdr>
        <w:top w:val="none" w:sz="0" w:space="0" w:color="auto"/>
        <w:left w:val="none" w:sz="0" w:space="0" w:color="auto"/>
        <w:bottom w:val="none" w:sz="0" w:space="0" w:color="auto"/>
        <w:right w:val="none" w:sz="0" w:space="0" w:color="auto"/>
      </w:divBdr>
    </w:div>
    <w:div w:id="1042558671">
      <w:bodyDiv w:val="1"/>
      <w:marLeft w:val="0"/>
      <w:marRight w:val="0"/>
      <w:marTop w:val="0"/>
      <w:marBottom w:val="0"/>
      <w:divBdr>
        <w:top w:val="none" w:sz="0" w:space="0" w:color="auto"/>
        <w:left w:val="none" w:sz="0" w:space="0" w:color="auto"/>
        <w:bottom w:val="none" w:sz="0" w:space="0" w:color="auto"/>
        <w:right w:val="none" w:sz="0" w:space="0" w:color="auto"/>
      </w:divBdr>
    </w:div>
    <w:div w:id="1053431842">
      <w:bodyDiv w:val="1"/>
      <w:marLeft w:val="0"/>
      <w:marRight w:val="0"/>
      <w:marTop w:val="0"/>
      <w:marBottom w:val="0"/>
      <w:divBdr>
        <w:top w:val="none" w:sz="0" w:space="0" w:color="auto"/>
        <w:left w:val="none" w:sz="0" w:space="0" w:color="auto"/>
        <w:bottom w:val="none" w:sz="0" w:space="0" w:color="auto"/>
        <w:right w:val="none" w:sz="0" w:space="0" w:color="auto"/>
      </w:divBdr>
    </w:div>
    <w:div w:id="1062409802">
      <w:bodyDiv w:val="1"/>
      <w:marLeft w:val="0"/>
      <w:marRight w:val="0"/>
      <w:marTop w:val="0"/>
      <w:marBottom w:val="0"/>
      <w:divBdr>
        <w:top w:val="none" w:sz="0" w:space="0" w:color="auto"/>
        <w:left w:val="none" w:sz="0" w:space="0" w:color="auto"/>
        <w:bottom w:val="none" w:sz="0" w:space="0" w:color="auto"/>
        <w:right w:val="none" w:sz="0" w:space="0" w:color="auto"/>
      </w:divBdr>
      <w:divsChild>
        <w:div w:id="428936363">
          <w:marLeft w:val="1987"/>
          <w:marRight w:val="0"/>
          <w:marTop w:val="0"/>
          <w:marBottom w:val="0"/>
          <w:divBdr>
            <w:top w:val="none" w:sz="0" w:space="0" w:color="auto"/>
            <w:left w:val="none" w:sz="0" w:space="0" w:color="auto"/>
            <w:bottom w:val="none" w:sz="0" w:space="0" w:color="auto"/>
            <w:right w:val="none" w:sz="0" w:space="0" w:color="auto"/>
          </w:divBdr>
        </w:div>
        <w:div w:id="342822240">
          <w:marLeft w:val="1987"/>
          <w:marRight w:val="0"/>
          <w:marTop w:val="0"/>
          <w:marBottom w:val="0"/>
          <w:divBdr>
            <w:top w:val="none" w:sz="0" w:space="0" w:color="auto"/>
            <w:left w:val="none" w:sz="0" w:space="0" w:color="auto"/>
            <w:bottom w:val="none" w:sz="0" w:space="0" w:color="auto"/>
            <w:right w:val="none" w:sz="0" w:space="0" w:color="auto"/>
          </w:divBdr>
        </w:div>
        <w:div w:id="516506670">
          <w:marLeft w:val="288"/>
          <w:marRight w:val="0"/>
          <w:marTop w:val="0"/>
          <w:marBottom w:val="0"/>
          <w:divBdr>
            <w:top w:val="none" w:sz="0" w:space="0" w:color="auto"/>
            <w:left w:val="none" w:sz="0" w:space="0" w:color="auto"/>
            <w:bottom w:val="none" w:sz="0" w:space="0" w:color="auto"/>
            <w:right w:val="none" w:sz="0" w:space="0" w:color="auto"/>
          </w:divBdr>
        </w:div>
        <w:div w:id="716709052">
          <w:marLeft w:val="1987"/>
          <w:marRight w:val="0"/>
          <w:marTop w:val="0"/>
          <w:marBottom w:val="0"/>
          <w:divBdr>
            <w:top w:val="none" w:sz="0" w:space="0" w:color="auto"/>
            <w:left w:val="none" w:sz="0" w:space="0" w:color="auto"/>
            <w:bottom w:val="none" w:sz="0" w:space="0" w:color="auto"/>
            <w:right w:val="none" w:sz="0" w:space="0" w:color="auto"/>
          </w:divBdr>
        </w:div>
        <w:div w:id="2031449381">
          <w:marLeft w:val="1987"/>
          <w:marRight w:val="0"/>
          <w:marTop w:val="0"/>
          <w:marBottom w:val="0"/>
          <w:divBdr>
            <w:top w:val="none" w:sz="0" w:space="0" w:color="auto"/>
            <w:left w:val="none" w:sz="0" w:space="0" w:color="auto"/>
            <w:bottom w:val="none" w:sz="0" w:space="0" w:color="auto"/>
            <w:right w:val="none" w:sz="0" w:space="0" w:color="auto"/>
          </w:divBdr>
        </w:div>
      </w:divsChild>
    </w:div>
    <w:div w:id="1063673425">
      <w:bodyDiv w:val="1"/>
      <w:marLeft w:val="0"/>
      <w:marRight w:val="0"/>
      <w:marTop w:val="0"/>
      <w:marBottom w:val="0"/>
      <w:divBdr>
        <w:top w:val="none" w:sz="0" w:space="0" w:color="auto"/>
        <w:left w:val="none" w:sz="0" w:space="0" w:color="auto"/>
        <w:bottom w:val="none" w:sz="0" w:space="0" w:color="auto"/>
        <w:right w:val="none" w:sz="0" w:space="0" w:color="auto"/>
      </w:divBdr>
    </w:div>
    <w:div w:id="1073695073">
      <w:bodyDiv w:val="1"/>
      <w:marLeft w:val="0"/>
      <w:marRight w:val="0"/>
      <w:marTop w:val="0"/>
      <w:marBottom w:val="0"/>
      <w:divBdr>
        <w:top w:val="none" w:sz="0" w:space="0" w:color="auto"/>
        <w:left w:val="none" w:sz="0" w:space="0" w:color="auto"/>
        <w:bottom w:val="none" w:sz="0" w:space="0" w:color="auto"/>
        <w:right w:val="none" w:sz="0" w:space="0" w:color="auto"/>
      </w:divBdr>
    </w:div>
    <w:div w:id="1081414342">
      <w:bodyDiv w:val="1"/>
      <w:marLeft w:val="0"/>
      <w:marRight w:val="0"/>
      <w:marTop w:val="0"/>
      <w:marBottom w:val="0"/>
      <w:divBdr>
        <w:top w:val="none" w:sz="0" w:space="0" w:color="auto"/>
        <w:left w:val="none" w:sz="0" w:space="0" w:color="auto"/>
        <w:bottom w:val="none" w:sz="0" w:space="0" w:color="auto"/>
        <w:right w:val="none" w:sz="0" w:space="0" w:color="auto"/>
      </w:divBdr>
      <w:divsChild>
        <w:div w:id="599994473">
          <w:marLeft w:val="547"/>
          <w:marRight w:val="0"/>
          <w:marTop w:val="0"/>
          <w:marBottom w:val="0"/>
          <w:divBdr>
            <w:top w:val="none" w:sz="0" w:space="0" w:color="auto"/>
            <w:left w:val="none" w:sz="0" w:space="0" w:color="auto"/>
            <w:bottom w:val="none" w:sz="0" w:space="0" w:color="auto"/>
            <w:right w:val="none" w:sz="0" w:space="0" w:color="auto"/>
          </w:divBdr>
        </w:div>
      </w:divsChild>
    </w:div>
    <w:div w:id="1083338341">
      <w:bodyDiv w:val="1"/>
      <w:marLeft w:val="0"/>
      <w:marRight w:val="0"/>
      <w:marTop w:val="0"/>
      <w:marBottom w:val="0"/>
      <w:divBdr>
        <w:top w:val="none" w:sz="0" w:space="0" w:color="auto"/>
        <w:left w:val="none" w:sz="0" w:space="0" w:color="auto"/>
        <w:bottom w:val="none" w:sz="0" w:space="0" w:color="auto"/>
        <w:right w:val="none" w:sz="0" w:space="0" w:color="auto"/>
      </w:divBdr>
      <w:divsChild>
        <w:div w:id="1692148576">
          <w:marLeft w:val="446"/>
          <w:marRight w:val="0"/>
          <w:marTop w:val="0"/>
          <w:marBottom w:val="0"/>
          <w:divBdr>
            <w:top w:val="none" w:sz="0" w:space="0" w:color="auto"/>
            <w:left w:val="none" w:sz="0" w:space="0" w:color="auto"/>
            <w:bottom w:val="none" w:sz="0" w:space="0" w:color="auto"/>
            <w:right w:val="none" w:sz="0" w:space="0" w:color="auto"/>
          </w:divBdr>
        </w:div>
        <w:div w:id="2124374942">
          <w:marLeft w:val="446"/>
          <w:marRight w:val="0"/>
          <w:marTop w:val="0"/>
          <w:marBottom w:val="0"/>
          <w:divBdr>
            <w:top w:val="none" w:sz="0" w:space="0" w:color="auto"/>
            <w:left w:val="none" w:sz="0" w:space="0" w:color="auto"/>
            <w:bottom w:val="none" w:sz="0" w:space="0" w:color="auto"/>
            <w:right w:val="none" w:sz="0" w:space="0" w:color="auto"/>
          </w:divBdr>
        </w:div>
      </w:divsChild>
    </w:div>
    <w:div w:id="1087262731">
      <w:bodyDiv w:val="1"/>
      <w:marLeft w:val="0"/>
      <w:marRight w:val="0"/>
      <w:marTop w:val="0"/>
      <w:marBottom w:val="0"/>
      <w:divBdr>
        <w:top w:val="none" w:sz="0" w:space="0" w:color="auto"/>
        <w:left w:val="none" w:sz="0" w:space="0" w:color="auto"/>
        <w:bottom w:val="none" w:sz="0" w:space="0" w:color="auto"/>
        <w:right w:val="none" w:sz="0" w:space="0" w:color="auto"/>
      </w:divBdr>
    </w:div>
    <w:div w:id="1091049205">
      <w:bodyDiv w:val="1"/>
      <w:marLeft w:val="0"/>
      <w:marRight w:val="0"/>
      <w:marTop w:val="0"/>
      <w:marBottom w:val="0"/>
      <w:divBdr>
        <w:top w:val="none" w:sz="0" w:space="0" w:color="auto"/>
        <w:left w:val="none" w:sz="0" w:space="0" w:color="auto"/>
        <w:bottom w:val="none" w:sz="0" w:space="0" w:color="auto"/>
        <w:right w:val="none" w:sz="0" w:space="0" w:color="auto"/>
      </w:divBdr>
    </w:div>
    <w:div w:id="1091779971">
      <w:bodyDiv w:val="1"/>
      <w:marLeft w:val="0"/>
      <w:marRight w:val="0"/>
      <w:marTop w:val="0"/>
      <w:marBottom w:val="0"/>
      <w:divBdr>
        <w:top w:val="none" w:sz="0" w:space="0" w:color="auto"/>
        <w:left w:val="none" w:sz="0" w:space="0" w:color="auto"/>
        <w:bottom w:val="none" w:sz="0" w:space="0" w:color="auto"/>
        <w:right w:val="none" w:sz="0" w:space="0" w:color="auto"/>
      </w:divBdr>
    </w:div>
    <w:div w:id="1092320478">
      <w:bodyDiv w:val="1"/>
      <w:marLeft w:val="0"/>
      <w:marRight w:val="0"/>
      <w:marTop w:val="0"/>
      <w:marBottom w:val="0"/>
      <w:divBdr>
        <w:top w:val="none" w:sz="0" w:space="0" w:color="auto"/>
        <w:left w:val="none" w:sz="0" w:space="0" w:color="auto"/>
        <w:bottom w:val="none" w:sz="0" w:space="0" w:color="auto"/>
        <w:right w:val="none" w:sz="0" w:space="0" w:color="auto"/>
      </w:divBdr>
    </w:div>
    <w:div w:id="1116170124">
      <w:bodyDiv w:val="1"/>
      <w:marLeft w:val="0"/>
      <w:marRight w:val="0"/>
      <w:marTop w:val="0"/>
      <w:marBottom w:val="0"/>
      <w:divBdr>
        <w:top w:val="none" w:sz="0" w:space="0" w:color="auto"/>
        <w:left w:val="none" w:sz="0" w:space="0" w:color="auto"/>
        <w:bottom w:val="none" w:sz="0" w:space="0" w:color="auto"/>
        <w:right w:val="none" w:sz="0" w:space="0" w:color="auto"/>
      </w:divBdr>
      <w:divsChild>
        <w:div w:id="372459920">
          <w:marLeft w:val="446"/>
          <w:marRight w:val="0"/>
          <w:marTop w:val="0"/>
          <w:marBottom w:val="0"/>
          <w:divBdr>
            <w:top w:val="none" w:sz="0" w:space="0" w:color="auto"/>
            <w:left w:val="none" w:sz="0" w:space="0" w:color="auto"/>
            <w:bottom w:val="none" w:sz="0" w:space="0" w:color="auto"/>
            <w:right w:val="none" w:sz="0" w:space="0" w:color="auto"/>
          </w:divBdr>
        </w:div>
        <w:div w:id="997880218">
          <w:marLeft w:val="446"/>
          <w:marRight w:val="0"/>
          <w:marTop w:val="0"/>
          <w:marBottom w:val="0"/>
          <w:divBdr>
            <w:top w:val="none" w:sz="0" w:space="0" w:color="auto"/>
            <w:left w:val="none" w:sz="0" w:space="0" w:color="auto"/>
            <w:bottom w:val="none" w:sz="0" w:space="0" w:color="auto"/>
            <w:right w:val="none" w:sz="0" w:space="0" w:color="auto"/>
          </w:divBdr>
        </w:div>
      </w:divsChild>
    </w:div>
    <w:div w:id="1124692524">
      <w:bodyDiv w:val="1"/>
      <w:marLeft w:val="0"/>
      <w:marRight w:val="0"/>
      <w:marTop w:val="0"/>
      <w:marBottom w:val="0"/>
      <w:divBdr>
        <w:top w:val="none" w:sz="0" w:space="0" w:color="auto"/>
        <w:left w:val="none" w:sz="0" w:space="0" w:color="auto"/>
        <w:bottom w:val="none" w:sz="0" w:space="0" w:color="auto"/>
        <w:right w:val="none" w:sz="0" w:space="0" w:color="auto"/>
      </w:divBdr>
    </w:div>
    <w:div w:id="1134787128">
      <w:bodyDiv w:val="1"/>
      <w:marLeft w:val="0"/>
      <w:marRight w:val="0"/>
      <w:marTop w:val="0"/>
      <w:marBottom w:val="0"/>
      <w:divBdr>
        <w:top w:val="none" w:sz="0" w:space="0" w:color="auto"/>
        <w:left w:val="none" w:sz="0" w:space="0" w:color="auto"/>
        <w:bottom w:val="none" w:sz="0" w:space="0" w:color="auto"/>
        <w:right w:val="none" w:sz="0" w:space="0" w:color="auto"/>
      </w:divBdr>
    </w:div>
    <w:div w:id="1140727503">
      <w:bodyDiv w:val="1"/>
      <w:marLeft w:val="0"/>
      <w:marRight w:val="0"/>
      <w:marTop w:val="0"/>
      <w:marBottom w:val="0"/>
      <w:divBdr>
        <w:top w:val="none" w:sz="0" w:space="0" w:color="auto"/>
        <w:left w:val="none" w:sz="0" w:space="0" w:color="auto"/>
        <w:bottom w:val="none" w:sz="0" w:space="0" w:color="auto"/>
        <w:right w:val="none" w:sz="0" w:space="0" w:color="auto"/>
      </w:divBdr>
    </w:div>
    <w:div w:id="1145508542">
      <w:bodyDiv w:val="1"/>
      <w:marLeft w:val="0"/>
      <w:marRight w:val="0"/>
      <w:marTop w:val="0"/>
      <w:marBottom w:val="0"/>
      <w:divBdr>
        <w:top w:val="none" w:sz="0" w:space="0" w:color="auto"/>
        <w:left w:val="none" w:sz="0" w:space="0" w:color="auto"/>
        <w:bottom w:val="none" w:sz="0" w:space="0" w:color="auto"/>
        <w:right w:val="none" w:sz="0" w:space="0" w:color="auto"/>
      </w:divBdr>
      <w:divsChild>
        <w:div w:id="746995159">
          <w:marLeft w:val="720"/>
          <w:marRight w:val="0"/>
          <w:marTop w:val="0"/>
          <w:marBottom w:val="120"/>
          <w:divBdr>
            <w:top w:val="none" w:sz="0" w:space="0" w:color="auto"/>
            <w:left w:val="none" w:sz="0" w:space="0" w:color="auto"/>
            <w:bottom w:val="none" w:sz="0" w:space="0" w:color="auto"/>
            <w:right w:val="none" w:sz="0" w:space="0" w:color="auto"/>
          </w:divBdr>
        </w:div>
        <w:div w:id="1227839709">
          <w:marLeft w:val="720"/>
          <w:marRight w:val="0"/>
          <w:marTop w:val="0"/>
          <w:marBottom w:val="120"/>
          <w:divBdr>
            <w:top w:val="none" w:sz="0" w:space="0" w:color="auto"/>
            <w:left w:val="none" w:sz="0" w:space="0" w:color="auto"/>
            <w:bottom w:val="none" w:sz="0" w:space="0" w:color="auto"/>
            <w:right w:val="none" w:sz="0" w:space="0" w:color="auto"/>
          </w:divBdr>
        </w:div>
      </w:divsChild>
    </w:div>
    <w:div w:id="1156457921">
      <w:bodyDiv w:val="1"/>
      <w:marLeft w:val="0"/>
      <w:marRight w:val="0"/>
      <w:marTop w:val="0"/>
      <w:marBottom w:val="0"/>
      <w:divBdr>
        <w:top w:val="none" w:sz="0" w:space="0" w:color="auto"/>
        <w:left w:val="none" w:sz="0" w:space="0" w:color="auto"/>
        <w:bottom w:val="none" w:sz="0" w:space="0" w:color="auto"/>
        <w:right w:val="none" w:sz="0" w:space="0" w:color="auto"/>
      </w:divBdr>
    </w:div>
    <w:div w:id="1161697047">
      <w:bodyDiv w:val="1"/>
      <w:marLeft w:val="0"/>
      <w:marRight w:val="0"/>
      <w:marTop w:val="0"/>
      <w:marBottom w:val="0"/>
      <w:divBdr>
        <w:top w:val="none" w:sz="0" w:space="0" w:color="auto"/>
        <w:left w:val="none" w:sz="0" w:space="0" w:color="auto"/>
        <w:bottom w:val="none" w:sz="0" w:space="0" w:color="auto"/>
        <w:right w:val="none" w:sz="0" w:space="0" w:color="auto"/>
      </w:divBdr>
      <w:divsChild>
        <w:div w:id="1366448972">
          <w:marLeft w:val="446"/>
          <w:marRight w:val="0"/>
          <w:marTop w:val="0"/>
          <w:marBottom w:val="0"/>
          <w:divBdr>
            <w:top w:val="none" w:sz="0" w:space="0" w:color="auto"/>
            <w:left w:val="none" w:sz="0" w:space="0" w:color="auto"/>
            <w:bottom w:val="none" w:sz="0" w:space="0" w:color="auto"/>
            <w:right w:val="none" w:sz="0" w:space="0" w:color="auto"/>
          </w:divBdr>
        </w:div>
        <w:div w:id="437868191">
          <w:marLeft w:val="446"/>
          <w:marRight w:val="0"/>
          <w:marTop w:val="0"/>
          <w:marBottom w:val="0"/>
          <w:divBdr>
            <w:top w:val="none" w:sz="0" w:space="0" w:color="auto"/>
            <w:left w:val="none" w:sz="0" w:space="0" w:color="auto"/>
            <w:bottom w:val="none" w:sz="0" w:space="0" w:color="auto"/>
            <w:right w:val="none" w:sz="0" w:space="0" w:color="auto"/>
          </w:divBdr>
        </w:div>
        <w:div w:id="878512813">
          <w:marLeft w:val="446"/>
          <w:marRight w:val="0"/>
          <w:marTop w:val="0"/>
          <w:marBottom w:val="0"/>
          <w:divBdr>
            <w:top w:val="none" w:sz="0" w:space="0" w:color="auto"/>
            <w:left w:val="none" w:sz="0" w:space="0" w:color="auto"/>
            <w:bottom w:val="none" w:sz="0" w:space="0" w:color="auto"/>
            <w:right w:val="none" w:sz="0" w:space="0" w:color="auto"/>
          </w:divBdr>
        </w:div>
        <w:div w:id="308024565">
          <w:marLeft w:val="1166"/>
          <w:marRight w:val="0"/>
          <w:marTop w:val="0"/>
          <w:marBottom w:val="0"/>
          <w:divBdr>
            <w:top w:val="none" w:sz="0" w:space="0" w:color="auto"/>
            <w:left w:val="none" w:sz="0" w:space="0" w:color="auto"/>
            <w:bottom w:val="none" w:sz="0" w:space="0" w:color="auto"/>
            <w:right w:val="none" w:sz="0" w:space="0" w:color="auto"/>
          </w:divBdr>
        </w:div>
        <w:div w:id="276181316">
          <w:marLeft w:val="1166"/>
          <w:marRight w:val="0"/>
          <w:marTop w:val="0"/>
          <w:marBottom w:val="0"/>
          <w:divBdr>
            <w:top w:val="none" w:sz="0" w:space="0" w:color="auto"/>
            <w:left w:val="none" w:sz="0" w:space="0" w:color="auto"/>
            <w:bottom w:val="none" w:sz="0" w:space="0" w:color="auto"/>
            <w:right w:val="none" w:sz="0" w:space="0" w:color="auto"/>
          </w:divBdr>
        </w:div>
        <w:div w:id="455677899">
          <w:marLeft w:val="446"/>
          <w:marRight w:val="0"/>
          <w:marTop w:val="0"/>
          <w:marBottom w:val="0"/>
          <w:divBdr>
            <w:top w:val="none" w:sz="0" w:space="0" w:color="auto"/>
            <w:left w:val="none" w:sz="0" w:space="0" w:color="auto"/>
            <w:bottom w:val="none" w:sz="0" w:space="0" w:color="auto"/>
            <w:right w:val="none" w:sz="0" w:space="0" w:color="auto"/>
          </w:divBdr>
        </w:div>
        <w:div w:id="1400447604">
          <w:marLeft w:val="446"/>
          <w:marRight w:val="0"/>
          <w:marTop w:val="0"/>
          <w:marBottom w:val="0"/>
          <w:divBdr>
            <w:top w:val="none" w:sz="0" w:space="0" w:color="auto"/>
            <w:left w:val="none" w:sz="0" w:space="0" w:color="auto"/>
            <w:bottom w:val="none" w:sz="0" w:space="0" w:color="auto"/>
            <w:right w:val="none" w:sz="0" w:space="0" w:color="auto"/>
          </w:divBdr>
        </w:div>
        <w:div w:id="1078752169">
          <w:marLeft w:val="446"/>
          <w:marRight w:val="0"/>
          <w:marTop w:val="0"/>
          <w:marBottom w:val="0"/>
          <w:divBdr>
            <w:top w:val="none" w:sz="0" w:space="0" w:color="auto"/>
            <w:left w:val="none" w:sz="0" w:space="0" w:color="auto"/>
            <w:bottom w:val="none" w:sz="0" w:space="0" w:color="auto"/>
            <w:right w:val="none" w:sz="0" w:space="0" w:color="auto"/>
          </w:divBdr>
        </w:div>
      </w:divsChild>
    </w:div>
    <w:div w:id="1167476347">
      <w:bodyDiv w:val="1"/>
      <w:marLeft w:val="0"/>
      <w:marRight w:val="0"/>
      <w:marTop w:val="0"/>
      <w:marBottom w:val="0"/>
      <w:divBdr>
        <w:top w:val="none" w:sz="0" w:space="0" w:color="auto"/>
        <w:left w:val="none" w:sz="0" w:space="0" w:color="auto"/>
        <w:bottom w:val="none" w:sz="0" w:space="0" w:color="auto"/>
        <w:right w:val="none" w:sz="0" w:space="0" w:color="auto"/>
      </w:divBdr>
    </w:div>
    <w:div w:id="1169056888">
      <w:bodyDiv w:val="1"/>
      <w:marLeft w:val="0"/>
      <w:marRight w:val="0"/>
      <w:marTop w:val="0"/>
      <w:marBottom w:val="0"/>
      <w:divBdr>
        <w:top w:val="none" w:sz="0" w:space="0" w:color="auto"/>
        <w:left w:val="none" w:sz="0" w:space="0" w:color="auto"/>
        <w:bottom w:val="none" w:sz="0" w:space="0" w:color="auto"/>
        <w:right w:val="none" w:sz="0" w:space="0" w:color="auto"/>
      </w:divBdr>
    </w:div>
    <w:div w:id="1182890755">
      <w:bodyDiv w:val="1"/>
      <w:marLeft w:val="0"/>
      <w:marRight w:val="0"/>
      <w:marTop w:val="0"/>
      <w:marBottom w:val="0"/>
      <w:divBdr>
        <w:top w:val="none" w:sz="0" w:space="0" w:color="auto"/>
        <w:left w:val="none" w:sz="0" w:space="0" w:color="auto"/>
        <w:bottom w:val="none" w:sz="0" w:space="0" w:color="auto"/>
        <w:right w:val="none" w:sz="0" w:space="0" w:color="auto"/>
      </w:divBdr>
      <w:divsChild>
        <w:div w:id="1635332418">
          <w:marLeft w:val="547"/>
          <w:marRight w:val="0"/>
          <w:marTop w:val="0"/>
          <w:marBottom w:val="480"/>
          <w:divBdr>
            <w:top w:val="none" w:sz="0" w:space="0" w:color="auto"/>
            <w:left w:val="none" w:sz="0" w:space="0" w:color="auto"/>
            <w:bottom w:val="none" w:sz="0" w:space="0" w:color="auto"/>
            <w:right w:val="none" w:sz="0" w:space="0" w:color="auto"/>
          </w:divBdr>
        </w:div>
      </w:divsChild>
    </w:div>
    <w:div w:id="1216089582">
      <w:bodyDiv w:val="1"/>
      <w:marLeft w:val="0"/>
      <w:marRight w:val="0"/>
      <w:marTop w:val="0"/>
      <w:marBottom w:val="0"/>
      <w:divBdr>
        <w:top w:val="none" w:sz="0" w:space="0" w:color="auto"/>
        <w:left w:val="none" w:sz="0" w:space="0" w:color="auto"/>
        <w:bottom w:val="none" w:sz="0" w:space="0" w:color="auto"/>
        <w:right w:val="none" w:sz="0" w:space="0" w:color="auto"/>
      </w:divBdr>
    </w:div>
    <w:div w:id="1229224014">
      <w:bodyDiv w:val="1"/>
      <w:marLeft w:val="0"/>
      <w:marRight w:val="0"/>
      <w:marTop w:val="0"/>
      <w:marBottom w:val="0"/>
      <w:divBdr>
        <w:top w:val="none" w:sz="0" w:space="0" w:color="auto"/>
        <w:left w:val="none" w:sz="0" w:space="0" w:color="auto"/>
        <w:bottom w:val="none" w:sz="0" w:space="0" w:color="auto"/>
        <w:right w:val="none" w:sz="0" w:space="0" w:color="auto"/>
      </w:divBdr>
    </w:div>
    <w:div w:id="1238394972">
      <w:bodyDiv w:val="1"/>
      <w:marLeft w:val="0"/>
      <w:marRight w:val="0"/>
      <w:marTop w:val="0"/>
      <w:marBottom w:val="0"/>
      <w:divBdr>
        <w:top w:val="none" w:sz="0" w:space="0" w:color="auto"/>
        <w:left w:val="none" w:sz="0" w:space="0" w:color="auto"/>
        <w:bottom w:val="none" w:sz="0" w:space="0" w:color="auto"/>
        <w:right w:val="none" w:sz="0" w:space="0" w:color="auto"/>
      </w:divBdr>
      <w:divsChild>
        <w:div w:id="778183020">
          <w:marLeft w:val="547"/>
          <w:marRight w:val="0"/>
          <w:marTop w:val="0"/>
          <w:marBottom w:val="0"/>
          <w:divBdr>
            <w:top w:val="none" w:sz="0" w:space="0" w:color="auto"/>
            <w:left w:val="none" w:sz="0" w:space="0" w:color="auto"/>
            <w:bottom w:val="none" w:sz="0" w:space="0" w:color="auto"/>
            <w:right w:val="none" w:sz="0" w:space="0" w:color="auto"/>
          </w:divBdr>
        </w:div>
      </w:divsChild>
    </w:div>
    <w:div w:id="1271356202">
      <w:bodyDiv w:val="1"/>
      <w:marLeft w:val="0"/>
      <w:marRight w:val="0"/>
      <w:marTop w:val="0"/>
      <w:marBottom w:val="0"/>
      <w:divBdr>
        <w:top w:val="none" w:sz="0" w:space="0" w:color="auto"/>
        <w:left w:val="none" w:sz="0" w:space="0" w:color="auto"/>
        <w:bottom w:val="none" w:sz="0" w:space="0" w:color="auto"/>
        <w:right w:val="none" w:sz="0" w:space="0" w:color="auto"/>
      </w:divBdr>
    </w:div>
    <w:div w:id="1278758543">
      <w:bodyDiv w:val="1"/>
      <w:marLeft w:val="0"/>
      <w:marRight w:val="0"/>
      <w:marTop w:val="0"/>
      <w:marBottom w:val="0"/>
      <w:divBdr>
        <w:top w:val="none" w:sz="0" w:space="0" w:color="auto"/>
        <w:left w:val="none" w:sz="0" w:space="0" w:color="auto"/>
        <w:bottom w:val="none" w:sz="0" w:space="0" w:color="auto"/>
        <w:right w:val="none" w:sz="0" w:space="0" w:color="auto"/>
      </w:divBdr>
    </w:div>
    <w:div w:id="1287934337">
      <w:bodyDiv w:val="1"/>
      <w:marLeft w:val="0"/>
      <w:marRight w:val="0"/>
      <w:marTop w:val="0"/>
      <w:marBottom w:val="0"/>
      <w:divBdr>
        <w:top w:val="none" w:sz="0" w:space="0" w:color="auto"/>
        <w:left w:val="none" w:sz="0" w:space="0" w:color="auto"/>
        <w:bottom w:val="none" w:sz="0" w:space="0" w:color="auto"/>
        <w:right w:val="none" w:sz="0" w:space="0" w:color="auto"/>
      </w:divBdr>
    </w:div>
    <w:div w:id="1293098392">
      <w:bodyDiv w:val="1"/>
      <w:marLeft w:val="0"/>
      <w:marRight w:val="0"/>
      <w:marTop w:val="0"/>
      <w:marBottom w:val="0"/>
      <w:divBdr>
        <w:top w:val="none" w:sz="0" w:space="0" w:color="auto"/>
        <w:left w:val="none" w:sz="0" w:space="0" w:color="auto"/>
        <w:bottom w:val="none" w:sz="0" w:space="0" w:color="auto"/>
        <w:right w:val="none" w:sz="0" w:space="0" w:color="auto"/>
      </w:divBdr>
    </w:div>
    <w:div w:id="1299720189">
      <w:bodyDiv w:val="1"/>
      <w:marLeft w:val="0"/>
      <w:marRight w:val="0"/>
      <w:marTop w:val="0"/>
      <w:marBottom w:val="0"/>
      <w:divBdr>
        <w:top w:val="none" w:sz="0" w:space="0" w:color="auto"/>
        <w:left w:val="none" w:sz="0" w:space="0" w:color="auto"/>
        <w:bottom w:val="none" w:sz="0" w:space="0" w:color="auto"/>
        <w:right w:val="none" w:sz="0" w:space="0" w:color="auto"/>
      </w:divBdr>
      <w:divsChild>
        <w:div w:id="1597983047">
          <w:marLeft w:val="144"/>
          <w:marRight w:val="0"/>
          <w:marTop w:val="0"/>
          <w:marBottom w:val="0"/>
          <w:divBdr>
            <w:top w:val="none" w:sz="0" w:space="0" w:color="auto"/>
            <w:left w:val="none" w:sz="0" w:space="0" w:color="auto"/>
            <w:bottom w:val="none" w:sz="0" w:space="0" w:color="auto"/>
            <w:right w:val="none" w:sz="0" w:space="0" w:color="auto"/>
          </w:divBdr>
        </w:div>
        <w:div w:id="865870707">
          <w:marLeft w:val="144"/>
          <w:marRight w:val="0"/>
          <w:marTop w:val="0"/>
          <w:marBottom w:val="0"/>
          <w:divBdr>
            <w:top w:val="none" w:sz="0" w:space="0" w:color="auto"/>
            <w:left w:val="none" w:sz="0" w:space="0" w:color="auto"/>
            <w:bottom w:val="none" w:sz="0" w:space="0" w:color="auto"/>
            <w:right w:val="none" w:sz="0" w:space="0" w:color="auto"/>
          </w:divBdr>
        </w:div>
        <w:div w:id="394163737">
          <w:marLeft w:val="144"/>
          <w:marRight w:val="0"/>
          <w:marTop w:val="0"/>
          <w:marBottom w:val="0"/>
          <w:divBdr>
            <w:top w:val="none" w:sz="0" w:space="0" w:color="auto"/>
            <w:left w:val="none" w:sz="0" w:space="0" w:color="auto"/>
            <w:bottom w:val="none" w:sz="0" w:space="0" w:color="auto"/>
            <w:right w:val="none" w:sz="0" w:space="0" w:color="auto"/>
          </w:divBdr>
        </w:div>
        <w:div w:id="1432974560">
          <w:marLeft w:val="144"/>
          <w:marRight w:val="0"/>
          <w:marTop w:val="0"/>
          <w:marBottom w:val="0"/>
          <w:divBdr>
            <w:top w:val="none" w:sz="0" w:space="0" w:color="auto"/>
            <w:left w:val="none" w:sz="0" w:space="0" w:color="auto"/>
            <w:bottom w:val="none" w:sz="0" w:space="0" w:color="auto"/>
            <w:right w:val="none" w:sz="0" w:space="0" w:color="auto"/>
          </w:divBdr>
        </w:div>
      </w:divsChild>
    </w:div>
    <w:div w:id="1299799936">
      <w:bodyDiv w:val="1"/>
      <w:marLeft w:val="0"/>
      <w:marRight w:val="0"/>
      <w:marTop w:val="0"/>
      <w:marBottom w:val="0"/>
      <w:divBdr>
        <w:top w:val="none" w:sz="0" w:space="0" w:color="auto"/>
        <w:left w:val="none" w:sz="0" w:space="0" w:color="auto"/>
        <w:bottom w:val="none" w:sz="0" w:space="0" w:color="auto"/>
        <w:right w:val="none" w:sz="0" w:space="0" w:color="auto"/>
      </w:divBdr>
    </w:div>
    <w:div w:id="1301110074">
      <w:bodyDiv w:val="1"/>
      <w:marLeft w:val="0"/>
      <w:marRight w:val="0"/>
      <w:marTop w:val="0"/>
      <w:marBottom w:val="0"/>
      <w:divBdr>
        <w:top w:val="none" w:sz="0" w:space="0" w:color="auto"/>
        <w:left w:val="none" w:sz="0" w:space="0" w:color="auto"/>
        <w:bottom w:val="none" w:sz="0" w:space="0" w:color="auto"/>
        <w:right w:val="none" w:sz="0" w:space="0" w:color="auto"/>
      </w:divBdr>
    </w:div>
    <w:div w:id="1302925859">
      <w:bodyDiv w:val="1"/>
      <w:marLeft w:val="0"/>
      <w:marRight w:val="0"/>
      <w:marTop w:val="0"/>
      <w:marBottom w:val="0"/>
      <w:divBdr>
        <w:top w:val="none" w:sz="0" w:space="0" w:color="auto"/>
        <w:left w:val="none" w:sz="0" w:space="0" w:color="auto"/>
        <w:bottom w:val="none" w:sz="0" w:space="0" w:color="auto"/>
        <w:right w:val="none" w:sz="0" w:space="0" w:color="auto"/>
      </w:divBdr>
    </w:div>
    <w:div w:id="1310011152">
      <w:bodyDiv w:val="1"/>
      <w:marLeft w:val="0"/>
      <w:marRight w:val="0"/>
      <w:marTop w:val="0"/>
      <w:marBottom w:val="0"/>
      <w:divBdr>
        <w:top w:val="none" w:sz="0" w:space="0" w:color="auto"/>
        <w:left w:val="none" w:sz="0" w:space="0" w:color="auto"/>
        <w:bottom w:val="none" w:sz="0" w:space="0" w:color="auto"/>
        <w:right w:val="none" w:sz="0" w:space="0" w:color="auto"/>
      </w:divBdr>
    </w:div>
    <w:div w:id="1310817553">
      <w:bodyDiv w:val="1"/>
      <w:marLeft w:val="0"/>
      <w:marRight w:val="0"/>
      <w:marTop w:val="0"/>
      <w:marBottom w:val="0"/>
      <w:divBdr>
        <w:top w:val="none" w:sz="0" w:space="0" w:color="auto"/>
        <w:left w:val="none" w:sz="0" w:space="0" w:color="auto"/>
        <w:bottom w:val="none" w:sz="0" w:space="0" w:color="auto"/>
        <w:right w:val="none" w:sz="0" w:space="0" w:color="auto"/>
      </w:divBdr>
      <w:divsChild>
        <w:div w:id="289746323">
          <w:marLeft w:val="1267"/>
          <w:marRight w:val="0"/>
          <w:marTop w:val="0"/>
          <w:marBottom w:val="0"/>
          <w:divBdr>
            <w:top w:val="none" w:sz="0" w:space="0" w:color="auto"/>
            <w:left w:val="none" w:sz="0" w:space="0" w:color="auto"/>
            <w:bottom w:val="none" w:sz="0" w:space="0" w:color="auto"/>
            <w:right w:val="none" w:sz="0" w:space="0" w:color="auto"/>
          </w:divBdr>
        </w:div>
        <w:div w:id="1456756741">
          <w:marLeft w:val="1267"/>
          <w:marRight w:val="0"/>
          <w:marTop w:val="0"/>
          <w:marBottom w:val="0"/>
          <w:divBdr>
            <w:top w:val="none" w:sz="0" w:space="0" w:color="auto"/>
            <w:left w:val="none" w:sz="0" w:space="0" w:color="auto"/>
            <w:bottom w:val="none" w:sz="0" w:space="0" w:color="auto"/>
            <w:right w:val="none" w:sz="0" w:space="0" w:color="auto"/>
          </w:divBdr>
        </w:div>
        <w:div w:id="1287156325">
          <w:marLeft w:val="1267"/>
          <w:marRight w:val="0"/>
          <w:marTop w:val="0"/>
          <w:marBottom w:val="0"/>
          <w:divBdr>
            <w:top w:val="none" w:sz="0" w:space="0" w:color="auto"/>
            <w:left w:val="none" w:sz="0" w:space="0" w:color="auto"/>
            <w:bottom w:val="none" w:sz="0" w:space="0" w:color="auto"/>
            <w:right w:val="none" w:sz="0" w:space="0" w:color="auto"/>
          </w:divBdr>
        </w:div>
        <w:div w:id="916986642">
          <w:marLeft w:val="1267"/>
          <w:marRight w:val="0"/>
          <w:marTop w:val="0"/>
          <w:marBottom w:val="0"/>
          <w:divBdr>
            <w:top w:val="none" w:sz="0" w:space="0" w:color="auto"/>
            <w:left w:val="none" w:sz="0" w:space="0" w:color="auto"/>
            <w:bottom w:val="none" w:sz="0" w:space="0" w:color="auto"/>
            <w:right w:val="none" w:sz="0" w:space="0" w:color="auto"/>
          </w:divBdr>
        </w:div>
        <w:div w:id="1266883018">
          <w:marLeft w:val="1267"/>
          <w:marRight w:val="0"/>
          <w:marTop w:val="0"/>
          <w:marBottom w:val="0"/>
          <w:divBdr>
            <w:top w:val="none" w:sz="0" w:space="0" w:color="auto"/>
            <w:left w:val="none" w:sz="0" w:space="0" w:color="auto"/>
            <w:bottom w:val="none" w:sz="0" w:space="0" w:color="auto"/>
            <w:right w:val="none" w:sz="0" w:space="0" w:color="auto"/>
          </w:divBdr>
        </w:div>
        <w:div w:id="546533559">
          <w:marLeft w:val="1267"/>
          <w:marRight w:val="0"/>
          <w:marTop w:val="0"/>
          <w:marBottom w:val="0"/>
          <w:divBdr>
            <w:top w:val="none" w:sz="0" w:space="0" w:color="auto"/>
            <w:left w:val="none" w:sz="0" w:space="0" w:color="auto"/>
            <w:bottom w:val="none" w:sz="0" w:space="0" w:color="auto"/>
            <w:right w:val="none" w:sz="0" w:space="0" w:color="auto"/>
          </w:divBdr>
        </w:div>
      </w:divsChild>
    </w:div>
    <w:div w:id="1314143668">
      <w:bodyDiv w:val="1"/>
      <w:marLeft w:val="0"/>
      <w:marRight w:val="0"/>
      <w:marTop w:val="0"/>
      <w:marBottom w:val="0"/>
      <w:divBdr>
        <w:top w:val="none" w:sz="0" w:space="0" w:color="auto"/>
        <w:left w:val="none" w:sz="0" w:space="0" w:color="auto"/>
        <w:bottom w:val="none" w:sz="0" w:space="0" w:color="auto"/>
        <w:right w:val="none" w:sz="0" w:space="0" w:color="auto"/>
      </w:divBdr>
    </w:div>
    <w:div w:id="1337459595">
      <w:bodyDiv w:val="1"/>
      <w:marLeft w:val="0"/>
      <w:marRight w:val="0"/>
      <w:marTop w:val="0"/>
      <w:marBottom w:val="0"/>
      <w:divBdr>
        <w:top w:val="none" w:sz="0" w:space="0" w:color="auto"/>
        <w:left w:val="none" w:sz="0" w:space="0" w:color="auto"/>
        <w:bottom w:val="none" w:sz="0" w:space="0" w:color="auto"/>
        <w:right w:val="none" w:sz="0" w:space="0" w:color="auto"/>
      </w:divBdr>
      <w:divsChild>
        <w:div w:id="885608687">
          <w:marLeft w:val="317"/>
          <w:marRight w:val="0"/>
          <w:marTop w:val="0"/>
          <w:marBottom w:val="0"/>
          <w:divBdr>
            <w:top w:val="none" w:sz="0" w:space="0" w:color="auto"/>
            <w:left w:val="none" w:sz="0" w:space="0" w:color="auto"/>
            <w:bottom w:val="none" w:sz="0" w:space="0" w:color="auto"/>
            <w:right w:val="none" w:sz="0" w:space="0" w:color="auto"/>
          </w:divBdr>
        </w:div>
        <w:div w:id="291986500">
          <w:marLeft w:val="317"/>
          <w:marRight w:val="0"/>
          <w:marTop w:val="0"/>
          <w:marBottom w:val="0"/>
          <w:divBdr>
            <w:top w:val="none" w:sz="0" w:space="0" w:color="auto"/>
            <w:left w:val="none" w:sz="0" w:space="0" w:color="auto"/>
            <w:bottom w:val="none" w:sz="0" w:space="0" w:color="auto"/>
            <w:right w:val="none" w:sz="0" w:space="0" w:color="auto"/>
          </w:divBdr>
        </w:div>
        <w:div w:id="1013992836">
          <w:marLeft w:val="317"/>
          <w:marRight w:val="0"/>
          <w:marTop w:val="0"/>
          <w:marBottom w:val="0"/>
          <w:divBdr>
            <w:top w:val="none" w:sz="0" w:space="0" w:color="auto"/>
            <w:left w:val="none" w:sz="0" w:space="0" w:color="auto"/>
            <w:bottom w:val="none" w:sz="0" w:space="0" w:color="auto"/>
            <w:right w:val="none" w:sz="0" w:space="0" w:color="auto"/>
          </w:divBdr>
        </w:div>
      </w:divsChild>
    </w:div>
    <w:div w:id="1344746188">
      <w:bodyDiv w:val="1"/>
      <w:marLeft w:val="0"/>
      <w:marRight w:val="0"/>
      <w:marTop w:val="0"/>
      <w:marBottom w:val="0"/>
      <w:divBdr>
        <w:top w:val="none" w:sz="0" w:space="0" w:color="auto"/>
        <w:left w:val="none" w:sz="0" w:space="0" w:color="auto"/>
        <w:bottom w:val="none" w:sz="0" w:space="0" w:color="auto"/>
        <w:right w:val="none" w:sz="0" w:space="0" w:color="auto"/>
      </w:divBdr>
      <w:divsChild>
        <w:div w:id="1094741887">
          <w:marLeft w:val="547"/>
          <w:marRight w:val="0"/>
          <w:marTop w:val="0"/>
          <w:marBottom w:val="240"/>
          <w:divBdr>
            <w:top w:val="none" w:sz="0" w:space="0" w:color="auto"/>
            <w:left w:val="none" w:sz="0" w:space="0" w:color="auto"/>
            <w:bottom w:val="none" w:sz="0" w:space="0" w:color="auto"/>
            <w:right w:val="none" w:sz="0" w:space="0" w:color="auto"/>
          </w:divBdr>
        </w:div>
        <w:div w:id="1156218244">
          <w:marLeft w:val="547"/>
          <w:marRight w:val="0"/>
          <w:marTop w:val="0"/>
          <w:marBottom w:val="240"/>
          <w:divBdr>
            <w:top w:val="none" w:sz="0" w:space="0" w:color="auto"/>
            <w:left w:val="none" w:sz="0" w:space="0" w:color="auto"/>
            <w:bottom w:val="none" w:sz="0" w:space="0" w:color="auto"/>
            <w:right w:val="none" w:sz="0" w:space="0" w:color="auto"/>
          </w:divBdr>
        </w:div>
        <w:div w:id="1702438924">
          <w:marLeft w:val="547"/>
          <w:marRight w:val="0"/>
          <w:marTop w:val="0"/>
          <w:marBottom w:val="240"/>
          <w:divBdr>
            <w:top w:val="none" w:sz="0" w:space="0" w:color="auto"/>
            <w:left w:val="none" w:sz="0" w:space="0" w:color="auto"/>
            <w:bottom w:val="none" w:sz="0" w:space="0" w:color="auto"/>
            <w:right w:val="none" w:sz="0" w:space="0" w:color="auto"/>
          </w:divBdr>
        </w:div>
        <w:div w:id="2025671174">
          <w:marLeft w:val="547"/>
          <w:marRight w:val="0"/>
          <w:marTop w:val="0"/>
          <w:marBottom w:val="240"/>
          <w:divBdr>
            <w:top w:val="none" w:sz="0" w:space="0" w:color="auto"/>
            <w:left w:val="none" w:sz="0" w:space="0" w:color="auto"/>
            <w:bottom w:val="none" w:sz="0" w:space="0" w:color="auto"/>
            <w:right w:val="none" w:sz="0" w:space="0" w:color="auto"/>
          </w:divBdr>
        </w:div>
        <w:div w:id="1872187286">
          <w:marLeft w:val="547"/>
          <w:marRight w:val="0"/>
          <w:marTop w:val="0"/>
          <w:marBottom w:val="240"/>
          <w:divBdr>
            <w:top w:val="none" w:sz="0" w:space="0" w:color="auto"/>
            <w:left w:val="none" w:sz="0" w:space="0" w:color="auto"/>
            <w:bottom w:val="none" w:sz="0" w:space="0" w:color="auto"/>
            <w:right w:val="none" w:sz="0" w:space="0" w:color="auto"/>
          </w:divBdr>
        </w:div>
      </w:divsChild>
    </w:div>
    <w:div w:id="1346446628">
      <w:bodyDiv w:val="1"/>
      <w:marLeft w:val="0"/>
      <w:marRight w:val="0"/>
      <w:marTop w:val="0"/>
      <w:marBottom w:val="0"/>
      <w:divBdr>
        <w:top w:val="none" w:sz="0" w:space="0" w:color="auto"/>
        <w:left w:val="none" w:sz="0" w:space="0" w:color="auto"/>
        <w:bottom w:val="none" w:sz="0" w:space="0" w:color="auto"/>
        <w:right w:val="none" w:sz="0" w:space="0" w:color="auto"/>
      </w:divBdr>
      <w:divsChild>
        <w:div w:id="1047073256">
          <w:marLeft w:val="446"/>
          <w:marRight w:val="0"/>
          <w:marTop w:val="0"/>
          <w:marBottom w:val="0"/>
          <w:divBdr>
            <w:top w:val="none" w:sz="0" w:space="0" w:color="auto"/>
            <w:left w:val="none" w:sz="0" w:space="0" w:color="auto"/>
            <w:bottom w:val="none" w:sz="0" w:space="0" w:color="auto"/>
            <w:right w:val="none" w:sz="0" w:space="0" w:color="auto"/>
          </w:divBdr>
        </w:div>
        <w:div w:id="1565876900">
          <w:marLeft w:val="446"/>
          <w:marRight w:val="0"/>
          <w:marTop w:val="0"/>
          <w:marBottom w:val="0"/>
          <w:divBdr>
            <w:top w:val="none" w:sz="0" w:space="0" w:color="auto"/>
            <w:left w:val="none" w:sz="0" w:space="0" w:color="auto"/>
            <w:bottom w:val="none" w:sz="0" w:space="0" w:color="auto"/>
            <w:right w:val="none" w:sz="0" w:space="0" w:color="auto"/>
          </w:divBdr>
        </w:div>
      </w:divsChild>
    </w:div>
    <w:div w:id="1351955185">
      <w:bodyDiv w:val="1"/>
      <w:marLeft w:val="0"/>
      <w:marRight w:val="0"/>
      <w:marTop w:val="0"/>
      <w:marBottom w:val="0"/>
      <w:divBdr>
        <w:top w:val="none" w:sz="0" w:space="0" w:color="auto"/>
        <w:left w:val="none" w:sz="0" w:space="0" w:color="auto"/>
        <w:bottom w:val="none" w:sz="0" w:space="0" w:color="auto"/>
        <w:right w:val="none" w:sz="0" w:space="0" w:color="auto"/>
      </w:divBdr>
    </w:div>
    <w:div w:id="1365248163">
      <w:bodyDiv w:val="1"/>
      <w:marLeft w:val="0"/>
      <w:marRight w:val="0"/>
      <w:marTop w:val="0"/>
      <w:marBottom w:val="0"/>
      <w:divBdr>
        <w:top w:val="none" w:sz="0" w:space="0" w:color="auto"/>
        <w:left w:val="none" w:sz="0" w:space="0" w:color="auto"/>
        <w:bottom w:val="none" w:sz="0" w:space="0" w:color="auto"/>
        <w:right w:val="none" w:sz="0" w:space="0" w:color="auto"/>
      </w:divBdr>
      <w:divsChild>
        <w:div w:id="143009507">
          <w:marLeft w:val="720"/>
          <w:marRight w:val="0"/>
          <w:marTop w:val="0"/>
          <w:marBottom w:val="0"/>
          <w:divBdr>
            <w:top w:val="none" w:sz="0" w:space="0" w:color="auto"/>
            <w:left w:val="none" w:sz="0" w:space="0" w:color="auto"/>
            <w:bottom w:val="none" w:sz="0" w:space="0" w:color="auto"/>
            <w:right w:val="none" w:sz="0" w:space="0" w:color="auto"/>
          </w:divBdr>
        </w:div>
        <w:div w:id="885721115">
          <w:marLeft w:val="720"/>
          <w:marRight w:val="0"/>
          <w:marTop w:val="0"/>
          <w:marBottom w:val="0"/>
          <w:divBdr>
            <w:top w:val="none" w:sz="0" w:space="0" w:color="auto"/>
            <w:left w:val="none" w:sz="0" w:space="0" w:color="auto"/>
            <w:bottom w:val="none" w:sz="0" w:space="0" w:color="auto"/>
            <w:right w:val="none" w:sz="0" w:space="0" w:color="auto"/>
          </w:divBdr>
        </w:div>
        <w:div w:id="878712749">
          <w:marLeft w:val="720"/>
          <w:marRight w:val="0"/>
          <w:marTop w:val="0"/>
          <w:marBottom w:val="0"/>
          <w:divBdr>
            <w:top w:val="none" w:sz="0" w:space="0" w:color="auto"/>
            <w:left w:val="none" w:sz="0" w:space="0" w:color="auto"/>
            <w:bottom w:val="none" w:sz="0" w:space="0" w:color="auto"/>
            <w:right w:val="none" w:sz="0" w:space="0" w:color="auto"/>
          </w:divBdr>
        </w:div>
        <w:div w:id="1604723291">
          <w:marLeft w:val="720"/>
          <w:marRight w:val="0"/>
          <w:marTop w:val="0"/>
          <w:marBottom w:val="0"/>
          <w:divBdr>
            <w:top w:val="none" w:sz="0" w:space="0" w:color="auto"/>
            <w:left w:val="none" w:sz="0" w:space="0" w:color="auto"/>
            <w:bottom w:val="none" w:sz="0" w:space="0" w:color="auto"/>
            <w:right w:val="none" w:sz="0" w:space="0" w:color="auto"/>
          </w:divBdr>
        </w:div>
        <w:div w:id="1906406970">
          <w:marLeft w:val="720"/>
          <w:marRight w:val="0"/>
          <w:marTop w:val="0"/>
          <w:marBottom w:val="0"/>
          <w:divBdr>
            <w:top w:val="none" w:sz="0" w:space="0" w:color="auto"/>
            <w:left w:val="none" w:sz="0" w:space="0" w:color="auto"/>
            <w:bottom w:val="none" w:sz="0" w:space="0" w:color="auto"/>
            <w:right w:val="none" w:sz="0" w:space="0" w:color="auto"/>
          </w:divBdr>
        </w:div>
        <w:div w:id="1268929851">
          <w:marLeft w:val="720"/>
          <w:marRight w:val="0"/>
          <w:marTop w:val="0"/>
          <w:marBottom w:val="0"/>
          <w:divBdr>
            <w:top w:val="none" w:sz="0" w:space="0" w:color="auto"/>
            <w:left w:val="none" w:sz="0" w:space="0" w:color="auto"/>
            <w:bottom w:val="none" w:sz="0" w:space="0" w:color="auto"/>
            <w:right w:val="none" w:sz="0" w:space="0" w:color="auto"/>
          </w:divBdr>
        </w:div>
      </w:divsChild>
    </w:div>
    <w:div w:id="1365405024">
      <w:bodyDiv w:val="1"/>
      <w:marLeft w:val="0"/>
      <w:marRight w:val="0"/>
      <w:marTop w:val="0"/>
      <w:marBottom w:val="0"/>
      <w:divBdr>
        <w:top w:val="none" w:sz="0" w:space="0" w:color="auto"/>
        <w:left w:val="none" w:sz="0" w:space="0" w:color="auto"/>
        <w:bottom w:val="none" w:sz="0" w:space="0" w:color="auto"/>
        <w:right w:val="none" w:sz="0" w:space="0" w:color="auto"/>
      </w:divBdr>
      <w:divsChild>
        <w:div w:id="2067026078">
          <w:marLeft w:val="288"/>
          <w:marRight w:val="0"/>
          <w:marTop w:val="0"/>
          <w:marBottom w:val="120"/>
          <w:divBdr>
            <w:top w:val="none" w:sz="0" w:space="0" w:color="auto"/>
            <w:left w:val="none" w:sz="0" w:space="0" w:color="auto"/>
            <w:bottom w:val="none" w:sz="0" w:space="0" w:color="auto"/>
            <w:right w:val="none" w:sz="0" w:space="0" w:color="auto"/>
          </w:divBdr>
        </w:div>
      </w:divsChild>
    </w:div>
    <w:div w:id="1381637621">
      <w:bodyDiv w:val="1"/>
      <w:marLeft w:val="0"/>
      <w:marRight w:val="0"/>
      <w:marTop w:val="0"/>
      <w:marBottom w:val="0"/>
      <w:divBdr>
        <w:top w:val="none" w:sz="0" w:space="0" w:color="auto"/>
        <w:left w:val="none" w:sz="0" w:space="0" w:color="auto"/>
        <w:bottom w:val="none" w:sz="0" w:space="0" w:color="auto"/>
        <w:right w:val="none" w:sz="0" w:space="0" w:color="auto"/>
      </w:divBdr>
    </w:div>
    <w:div w:id="1387797695">
      <w:bodyDiv w:val="1"/>
      <w:marLeft w:val="0"/>
      <w:marRight w:val="0"/>
      <w:marTop w:val="0"/>
      <w:marBottom w:val="0"/>
      <w:divBdr>
        <w:top w:val="none" w:sz="0" w:space="0" w:color="auto"/>
        <w:left w:val="none" w:sz="0" w:space="0" w:color="auto"/>
        <w:bottom w:val="none" w:sz="0" w:space="0" w:color="auto"/>
        <w:right w:val="none" w:sz="0" w:space="0" w:color="auto"/>
      </w:divBdr>
    </w:div>
    <w:div w:id="1399982811">
      <w:bodyDiv w:val="1"/>
      <w:marLeft w:val="0"/>
      <w:marRight w:val="0"/>
      <w:marTop w:val="0"/>
      <w:marBottom w:val="0"/>
      <w:divBdr>
        <w:top w:val="none" w:sz="0" w:space="0" w:color="auto"/>
        <w:left w:val="none" w:sz="0" w:space="0" w:color="auto"/>
        <w:bottom w:val="none" w:sz="0" w:space="0" w:color="auto"/>
        <w:right w:val="none" w:sz="0" w:space="0" w:color="auto"/>
      </w:divBdr>
    </w:div>
    <w:div w:id="1413893163">
      <w:bodyDiv w:val="1"/>
      <w:marLeft w:val="0"/>
      <w:marRight w:val="0"/>
      <w:marTop w:val="0"/>
      <w:marBottom w:val="0"/>
      <w:divBdr>
        <w:top w:val="none" w:sz="0" w:space="0" w:color="auto"/>
        <w:left w:val="none" w:sz="0" w:space="0" w:color="auto"/>
        <w:bottom w:val="none" w:sz="0" w:space="0" w:color="auto"/>
        <w:right w:val="none" w:sz="0" w:space="0" w:color="auto"/>
      </w:divBdr>
      <w:divsChild>
        <w:div w:id="944724680">
          <w:marLeft w:val="547"/>
          <w:marRight w:val="0"/>
          <w:marTop w:val="0"/>
          <w:marBottom w:val="120"/>
          <w:divBdr>
            <w:top w:val="none" w:sz="0" w:space="0" w:color="auto"/>
            <w:left w:val="none" w:sz="0" w:space="0" w:color="auto"/>
            <w:bottom w:val="none" w:sz="0" w:space="0" w:color="auto"/>
            <w:right w:val="none" w:sz="0" w:space="0" w:color="auto"/>
          </w:divBdr>
        </w:div>
        <w:div w:id="1580023464">
          <w:marLeft w:val="547"/>
          <w:marRight w:val="0"/>
          <w:marTop w:val="0"/>
          <w:marBottom w:val="120"/>
          <w:divBdr>
            <w:top w:val="none" w:sz="0" w:space="0" w:color="auto"/>
            <w:left w:val="none" w:sz="0" w:space="0" w:color="auto"/>
            <w:bottom w:val="none" w:sz="0" w:space="0" w:color="auto"/>
            <w:right w:val="none" w:sz="0" w:space="0" w:color="auto"/>
          </w:divBdr>
        </w:div>
        <w:div w:id="684329510">
          <w:marLeft w:val="547"/>
          <w:marRight w:val="0"/>
          <w:marTop w:val="0"/>
          <w:marBottom w:val="120"/>
          <w:divBdr>
            <w:top w:val="none" w:sz="0" w:space="0" w:color="auto"/>
            <w:left w:val="none" w:sz="0" w:space="0" w:color="auto"/>
            <w:bottom w:val="none" w:sz="0" w:space="0" w:color="auto"/>
            <w:right w:val="none" w:sz="0" w:space="0" w:color="auto"/>
          </w:divBdr>
        </w:div>
      </w:divsChild>
    </w:div>
    <w:div w:id="1419864527">
      <w:bodyDiv w:val="1"/>
      <w:marLeft w:val="0"/>
      <w:marRight w:val="0"/>
      <w:marTop w:val="0"/>
      <w:marBottom w:val="0"/>
      <w:divBdr>
        <w:top w:val="none" w:sz="0" w:space="0" w:color="auto"/>
        <w:left w:val="none" w:sz="0" w:space="0" w:color="auto"/>
        <w:bottom w:val="none" w:sz="0" w:space="0" w:color="auto"/>
        <w:right w:val="none" w:sz="0" w:space="0" w:color="auto"/>
      </w:divBdr>
    </w:div>
    <w:div w:id="1433017516">
      <w:bodyDiv w:val="1"/>
      <w:marLeft w:val="0"/>
      <w:marRight w:val="0"/>
      <w:marTop w:val="0"/>
      <w:marBottom w:val="0"/>
      <w:divBdr>
        <w:top w:val="none" w:sz="0" w:space="0" w:color="auto"/>
        <w:left w:val="none" w:sz="0" w:space="0" w:color="auto"/>
        <w:bottom w:val="none" w:sz="0" w:space="0" w:color="auto"/>
        <w:right w:val="none" w:sz="0" w:space="0" w:color="auto"/>
      </w:divBdr>
    </w:div>
    <w:div w:id="1457022316">
      <w:bodyDiv w:val="1"/>
      <w:marLeft w:val="0"/>
      <w:marRight w:val="0"/>
      <w:marTop w:val="0"/>
      <w:marBottom w:val="0"/>
      <w:divBdr>
        <w:top w:val="none" w:sz="0" w:space="0" w:color="auto"/>
        <w:left w:val="none" w:sz="0" w:space="0" w:color="auto"/>
        <w:bottom w:val="none" w:sz="0" w:space="0" w:color="auto"/>
        <w:right w:val="none" w:sz="0" w:space="0" w:color="auto"/>
      </w:divBdr>
      <w:divsChild>
        <w:div w:id="327834002">
          <w:marLeft w:val="446"/>
          <w:marRight w:val="0"/>
          <w:marTop w:val="0"/>
          <w:marBottom w:val="0"/>
          <w:divBdr>
            <w:top w:val="none" w:sz="0" w:space="0" w:color="auto"/>
            <w:left w:val="none" w:sz="0" w:space="0" w:color="auto"/>
            <w:bottom w:val="none" w:sz="0" w:space="0" w:color="auto"/>
            <w:right w:val="none" w:sz="0" w:space="0" w:color="auto"/>
          </w:divBdr>
        </w:div>
        <w:div w:id="1679502884">
          <w:marLeft w:val="446"/>
          <w:marRight w:val="0"/>
          <w:marTop w:val="0"/>
          <w:marBottom w:val="0"/>
          <w:divBdr>
            <w:top w:val="none" w:sz="0" w:space="0" w:color="auto"/>
            <w:left w:val="none" w:sz="0" w:space="0" w:color="auto"/>
            <w:bottom w:val="none" w:sz="0" w:space="0" w:color="auto"/>
            <w:right w:val="none" w:sz="0" w:space="0" w:color="auto"/>
          </w:divBdr>
        </w:div>
        <w:div w:id="1091783332">
          <w:marLeft w:val="446"/>
          <w:marRight w:val="0"/>
          <w:marTop w:val="0"/>
          <w:marBottom w:val="0"/>
          <w:divBdr>
            <w:top w:val="none" w:sz="0" w:space="0" w:color="auto"/>
            <w:left w:val="none" w:sz="0" w:space="0" w:color="auto"/>
            <w:bottom w:val="none" w:sz="0" w:space="0" w:color="auto"/>
            <w:right w:val="none" w:sz="0" w:space="0" w:color="auto"/>
          </w:divBdr>
        </w:div>
        <w:div w:id="56055543">
          <w:marLeft w:val="446"/>
          <w:marRight w:val="0"/>
          <w:marTop w:val="0"/>
          <w:marBottom w:val="0"/>
          <w:divBdr>
            <w:top w:val="none" w:sz="0" w:space="0" w:color="auto"/>
            <w:left w:val="none" w:sz="0" w:space="0" w:color="auto"/>
            <w:bottom w:val="none" w:sz="0" w:space="0" w:color="auto"/>
            <w:right w:val="none" w:sz="0" w:space="0" w:color="auto"/>
          </w:divBdr>
        </w:div>
      </w:divsChild>
    </w:div>
    <w:div w:id="1464538137">
      <w:bodyDiv w:val="1"/>
      <w:marLeft w:val="0"/>
      <w:marRight w:val="0"/>
      <w:marTop w:val="0"/>
      <w:marBottom w:val="0"/>
      <w:divBdr>
        <w:top w:val="none" w:sz="0" w:space="0" w:color="auto"/>
        <w:left w:val="none" w:sz="0" w:space="0" w:color="auto"/>
        <w:bottom w:val="none" w:sz="0" w:space="0" w:color="auto"/>
        <w:right w:val="none" w:sz="0" w:space="0" w:color="auto"/>
      </w:divBdr>
      <w:divsChild>
        <w:div w:id="787939535">
          <w:marLeft w:val="446"/>
          <w:marRight w:val="0"/>
          <w:marTop w:val="0"/>
          <w:marBottom w:val="0"/>
          <w:divBdr>
            <w:top w:val="none" w:sz="0" w:space="0" w:color="auto"/>
            <w:left w:val="none" w:sz="0" w:space="0" w:color="auto"/>
            <w:bottom w:val="none" w:sz="0" w:space="0" w:color="auto"/>
            <w:right w:val="none" w:sz="0" w:space="0" w:color="auto"/>
          </w:divBdr>
        </w:div>
        <w:div w:id="1672635798">
          <w:marLeft w:val="446"/>
          <w:marRight w:val="0"/>
          <w:marTop w:val="0"/>
          <w:marBottom w:val="0"/>
          <w:divBdr>
            <w:top w:val="none" w:sz="0" w:space="0" w:color="auto"/>
            <w:left w:val="none" w:sz="0" w:space="0" w:color="auto"/>
            <w:bottom w:val="none" w:sz="0" w:space="0" w:color="auto"/>
            <w:right w:val="none" w:sz="0" w:space="0" w:color="auto"/>
          </w:divBdr>
        </w:div>
        <w:div w:id="197623513">
          <w:marLeft w:val="446"/>
          <w:marRight w:val="0"/>
          <w:marTop w:val="0"/>
          <w:marBottom w:val="0"/>
          <w:divBdr>
            <w:top w:val="none" w:sz="0" w:space="0" w:color="auto"/>
            <w:left w:val="none" w:sz="0" w:space="0" w:color="auto"/>
            <w:bottom w:val="none" w:sz="0" w:space="0" w:color="auto"/>
            <w:right w:val="none" w:sz="0" w:space="0" w:color="auto"/>
          </w:divBdr>
        </w:div>
        <w:div w:id="1820926410">
          <w:marLeft w:val="446"/>
          <w:marRight w:val="0"/>
          <w:marTop w:val="0"/>
          <w:marBottom w:val="0"/>
          <w:divBdr>
            <w:top w:val="none" w:sz="0" w:space="0" w:color="auto"/>
            <w:left w:val="none" w:sz="0" w:space="0" w:color="auto"/>
            <w:bottom w:val="none" w:sz="0" w:space="0" w:color="auto"/>
            <w:right w:val="none" w:sz="0" w:space="0" w:color="auto"/>
          </w:divBdr>
        </w:div>
        <w:div w:id="94715172">
          <w:marLeft w:val="446"/>
          <w:marRight w:val="0"/>
          <w:marTop w:val="0"/>
          <w:marBottom w:val="0"/>
          <w:divBdr>
            <w:top w:val="none" w:sz="0" w:space="0" w:color="auto"/>
            <w:left w:val="none" w:sz="0" w:space="0" w:color="auto"/>
            <w:bottom w:val="none" w:sz="0" w:space="0" w:color="auto"/>
            <w:right w:val="none" w:sz="0" w:space="0" w:color="auto"/>
          </w:divBdr>
        </w:div>
        <w:div w:id="1621959186">
          <w:marLeft w:val="446"/>
          <w:marRight w:val="0"/>
          <w:marTop w:val="0"/>
          <w:marBottom w:val="0"/>
          <w:divBdr>
            <w:top w:val="none" w:sz="0" w:space="0" w:color="auto"/>
            <w:left w:val="none" w:sz="0" w:space="0" w:color="auto"/>
            <w:bottom w:val="none" w:sz="0" w:space="0" w:color="auto"/>
            <w:right w:val="none" w:sz="0" w:space="0" w:color="auto"/>
          </w:divBdr>
        </w:div>
        <w:div w:id="2003659040">
          <w:marLeft w:val="446"/>
          <w:marRight w:val="0"/>
          <w:marTop w:val="0"/>
          <w:marBottom w:val="0"/>
          <w:divBdr>
            <w:top w:val="none" w:sz="0" w:space="0" w:color="auto"/>
            <w:left w:val="none" w:sz="0" w:space="0" w:color="auto"/>
            <w:bottom w:val="none" w:sz="0" w:space="0" w:color="auto"/>
            <w:right w:val="none" w:sz="0" w:space="0" w:color="auto"/>
          </w:divBdr>
        </w:div>
        <w:div w:id="277614799">
          <w:marLeft w:val="446"/>
          <w:marRight w:val="0"/>
          <w:marTop w:val="0"/>
          <w:marBottom w:val="0"/>
          <w:divBdr>
            <w:top w:val="none" w:sz="0" w:space="0" w:color="auto"/>
            <w:left w:val="none" w:sz="0" w:space="0" w:color="auto"/>
            <w:bottom w:val="none" w:sz="0" w:space="0" w:color="auto"/>
            <w:right w:val="none" w:sz="0" w:space="0" w:color="auto"/>
          </w:divBdr>
        </w:div>
      </w:divsChild>
    </w:div>
    <w:div w:id="1474980175">
      <w:bodyDiv w:val="1"/>
      <w:marLeft w:val="0"/>
      <w:marRight w:val="0"/>
      <w:marTop w:val="0"/>
      <w:marBottom w:val="0"/>
      <w:divBdr>
        <w:top w:val="none" w:sz="0" w:space="0" w:color="auto"/>
        <w:left w:val="none" w:sz="0" w:space="0" w:color="auto"/>
        <w:bottom w:val="none" w:sz="0" w:space="0" w:color="auto"/>
        <w:right w:val="none" w:sz="0" w:space="0" w:color="auto"/>
      </w:divBdr>
      <w:divsChild>
        <w:div w:id="1148396665">
          <w:marLeft w:val="0"/>
          <w:marRight w:val="0"/>
          <w:marTop w:val="0"/>
          <w:marBottom w:val="120"/>
          <w:divBdr>
            <w:top w:val="none" w:sz="0" w:space="0" w:color="auto"/>
            <w:left w:val="none" w:sz="0" w:space="0" w:color="auto"/>
            <w:bottom w:val="none" w:sz="0" w:space="0" w:color="auto"/>
            <w:right w:val="none" w:sz="0" w:space="0" w:color="auto"/>
          </w:divBdr>
        </w:div>
      </w:divsChild>
    </w:div>
    <w:div w:id="1520587363">
      <w:bodyDiv w:val="1"/>
      <w:marLeft w:val="0"/>
      <w:marRight w:val="0"/>
      <w:marTop w:val="0"/>
      <w:marBottom w:val="0"/>
      <w:divBdr>
        <w:top w:val="none" w:sz="0" w:space="0" w:color="auto"/>
        <w:left w:val="none" w:sz="0" w:space="0" w:color="auto"/>
        <w:bottom w:val="none" w:sz="0" w:space="0" w:color="auto"/>
        <w:right w:val="none" w:sz="0" w:space="0" w:color="auto"/>
      </w:divBdr>
    </w:div>
    <w:div w:id="1532063135">
      <w:bodyDiv w:val="1"/>
      <w:marLeft w:val="0"/>
      <w:marRight w:val="0"/>
      <w:marTop w:val="0"/>
      <w:marBottom w:val="0"/>
      <w:divBdr>
        <w:top w:val="none" w:sz="0" w:space="0" w:color="auto"/>
        <w:left w:val="none" w:sz="0" w:space="0" w:color="auto"/>
        <w:bottom w:val="none" w:sz="0" w:space="0" w:color="auto"/>
        <w:right w:val="none" w:sz="0" w:space="0" w:color="auto"/>
      </w:divBdr>
    </w:div>
    <w:div w:id="1539734369">
      <w:bodyDiv w:val="1"/>
      <w:marLeft w:val="0"/>
      <w:marRight w:val="0"/>
      <w:marTop w:val="0"/>
      <w:marBottom w:val="0"/>
      <w:divBdr>
        <w:top w:val="none" w:sz="0" w:space="0" w:color="auto"/>
        <w:left w:val="none" w:sz="0" w:space="0" w:color="auto"/>
        <w:bottom w:val="none" w:sz="0" w:space="0" w:color="auto"/>
        <w:right w:val="none" w:sz="0" w:space="0" w:color="auto"/>
      </w:divBdr>
    </w:div>
    <w:div w:id="1555385164">
      <w:bodyDiv w:val="1"/>
      <w:marLeft w:val="0"/>
      <w:marRight w:val="0"/>
      <w:marTop w:val="0"/>
      <w:marBottom w:val="0"/>
      <w:divBdr>
        <w:top w:val="none" w:sz="0" w:space="0" w:color="auto"/>
        <w:left w:val="none" w:sz="0" w:space="0" w:color="auto"/>
        <w:bottom w:val="none" w:sz="0" w:space="0" w:color="auto"/>
        <w:right w:val="none" w:sz="0" w:space="0" w:color="auto"/>
      </w:divBdr>
      <w:divsChild>
        <w:div w:id="1625767350">
          <w:marLeft w:val="547"/>
          <w:marRight w:val="0"/>
          <w:marTop w:val="0"/>
          <w:marBottom w:val="480"/>
          <w:divBdr>
            <w:top w:val="none" w:sz="0" w:space="0" w:color="auto"/>
            <w:left w:val="none" w:sz="0" w:space="0" w:color="auto"/>
            <w:bottom w:val="none" w:sz="0" w:space="0" w:color="auto"/>
            <w:right w:val="none" w:sz="0" w:space="0" w:color="auto"/>
          </w:divBdr>
        </w:div>
        <w:div w:id="1305888918">
          <w:marLeft w:val="547"/>
          <w:marRight w:val="0"/>
          <w:marTop w:val="0"/>
          <w:marBottom w:val="480"/>
          <w:divBdr>
            <w:top w:val="none" w:sz="0" w:space="0" w:color="auto"/>
            <w:left w:val="none" w:sz="0" w:space="0" w:color="auto"/>
            <w:bottom w:val="none" w:sz="0" w:space="0" w:color="auto"/>
            <w:right w:val="none" w:sz="0" w:space="0" w:color="auto"/>
          </w:divBdr>
        </w:div>
        <w:div w:id="1455176317">
          <w:marLeft w:val="547"/>
          <w:marRight w:val="0"/>
          <w:marTop w:val="0"/>
          <w:marBottom w:val="480"/>
          <w:divBdr>
            <w:top w:val="none" w:sz="0" w:space="0" w:color="auto"/>
            <w:left w:val="none" w:sz="0" w:space="0" w:color="auto"/>
            <w:bottom w:val="none" w:sz="0" w:space="0" w:color="auto"/>
            <w:right w:val="none" w:sz="0" w:space="0" w:color="auto"/>
          </w:divBdr>
        </w:div>
      </w:divsChild>
    </w:div>
    <w:div w:id="1557427668">
      <w:bodyDiv w:val="1"/>
      <w:marLeft w:val="0"/>
      <w:marRight w:val="0"/>
      <w:marTop w:val="0"/>
      <w:marBottom w:val="0"/>
      <w:divBdr>
        <w:top w:val="none" w:sz="0" w:space="0" w:color="auto"/>
        <w:left w:val="none" w:sz="0" w:space="0" w:color="auto"/>
        <w:bottom w:val="none" w:sz="0" w:space="0" w:color="auto"/>
        <w:right w:val="none" w:sz="0" w:space="0" w:color="auto"/>
      </w:divBdr>
      <w:divsChild>
        <w:div w:id="289675262">
          <w:marLeft w:val="446"/>
          <w:marRight w:val="0"/>
          <w:marTop w:val="0"/>
          <w:marBottom w:val="0"/>
          <w:divBdr>
            <w:top w:val="none" w:sz="0" w:space="0" w:color="auto"/>
            <w:left w:val="none" w:sz="0" w:space="0" w:color="auto"/>
            <w:bottom w:val="none" w:sz="0" w:space="0" w:color="auto"/>
            <w:right w:val="none" w:sz="0" w:space="0" w:color="auto"/>
          </w:divBdr>
        </w:div>
        <w:div w:id="2139519345">
          <w:marLeft w:val="446"/>
          <w:marRight w:val="0"/>
          <w:marTop w:val="0"/>
          <w:marBottom w:val="0"/>
          <w:divBdr>
            <w:top w:val="none" w:sz="0" w:space="0" w:color="auto"/>
            <w:left w:val="none" w:sz="0" w:space="0" w:color="auto"/>
            <w:bottom w:val="none" w:sz="0" w:space="0" w:color="auto"/>
            <w:right w:val="none" w:sz="0" w:space="0" w:color="auto"/>
          </w:divBdr>
        </w:div>
        <w:div w:id="518399595">
          <w:marLeft w:val="446"/>
          <w:marRight w:val="0"/>
          <w:marTop w:val="0"/>
          <w:marBottom w:val="0"/>
          <w:divBdr>
            <w:top w:val="none" w:sz="0" w:space="0" w:color="auto"/>
            <w:left w:val="none" w:sz="0" w:space="0" w:color="auto"/>
            <w:bottom w:val="none" w:sz="0" w:space="0" w:color="auto"/>
            <w:right w:val="none" w:sz="0" w:space="0" w:color="auto"/>
          </w:divBdr>
        </w:div>
      </w:divsChild>
    </w:div>
    <w:div w:id="1562404258">
      <w:bodyDiv w:val="1"/>
      <w:marLeft w:val="0"/>
      <w:marRight w:val="0"/>
      <w:marTop w:val="0"/>
      <w:marBottom w:val="0"/>
      <w:divBdr>
        <w:top w:val="none" w:sz="0" w:space="0" w:color="auto"/>
        <w:left w:val="none" w:sz="0" w:space="0" w:color="auto"/>
        <w:bottom w:val="none" w:sz="0" w:space="0" w:color="auto"/>
        <w:right w:val="none" w:sz="0" w:space="0" w:color="auto"/>
      </w:divBdr>
    </w:div>
    <w:div w:id="1580361046">
      <w:bodyDiv w:val="1"/>
      <w:marLeft w:val="0"/>
      <w:marRight w:val="0"/>
      <w:marTop w:val="0"/>
      <w:marBottom w:val="0"/>
      <w:divBdr>
        <w:top w:val="none" w:sz="0" w:space="0" w:color="auto"/>
        <w:left w:val="none" w:sz="0" w:space="0" w:color="auto"/>
        <w:bottom w:val="none" w:sz="0" w:space="0" w:color="auto"/>
        <w:right w:val="none" w:sz="0" w:space="0" w:color="auto"/>
      </w:divBdr>
    </w:div>
    <w:div w:id="1600673910">
      <w:bodyDiv w:val="1"/>
      <w:marLeft w:val="0"/>
      <w:marRight w:val="0"/>
      <w:marTop w:val="0"/>
      <w:marBottom w:val="0"/>
      <w:divBdr>
        <w:top w:val="none" w:sz="0" w:space="0" w:color="auto"/>
        <w:left w:val="none" w:sz="0" w:space="0" w:color="auto"/>
        <w:bottom w:val="none" w:sz="0" w:space="0" w:color="auto"/>
        <w:right w:val="none" w:sz="0" w:space="0" w:color="auto"/>
      </w:divBdr>
    </w:div>
    <w:div w:id="1617366755">
      <w:bodyDiv w:val="1"/>
      <w:marLeft w:val="0"/>
      <w:marRight w:val="0"/>
      <w:marTop w:val="0"/>
      <w:marBottom w:val="0"/>
      <w:divBdr>
        <w:top w:val="none" w:sz="0" w:space="0" w:color="auto"/>
        <w:left w:val="none" w:sz="0" w:space="0" w:color="auto"/>
        <w:bottom w:val="none" w:sz="0" w:space="0" w:color="auto"/>
        <w:right w:val="none" w:sz="0" w:space="0" w:color="auto"/>
      </w:divBdr>
    </w:div>
    <w:div w:id="1620139073">
      <w:bodyDiv w:val="1"/>
      <w:marLeft w:val="0"/>
      <w:marRight w:val="0"/>
      <w:marTop w:val="0"/>
      <w:marBottom w:val="0"/>
      <w:divBdr>
        <w:top w:val="none" w:sz="0" w:space="0" w:color="auto"/>
        <w:left w:val="none" w:sz="0" w:space="0" w:color="auto"/>
        <w:bottom w:val="none" w:sz="0" w:space="0" w:color="auto"/>
        <w:right w:val="none" w:sz="0" w:space="0" w:color="auto"/>
      </w:divBdr>
      <w:divsChild>
        <w:div w:id="1043022222">
          <w:marLeft w:val="446"/>
          <w:marRight w:val="0"/>
          <w:marTop w:val="0"/>
          <w:marBottom w:val="0"/>
          <w:divBdr>
            <w:top w:val="none" w:sz="0" w:space="0" w:color="auto"/>
            <w:left w:val="none" w:sz="0" w:space="0" w:color="auto"/>
            <w:bottom w:val="none" w:sz="0" w:space="0" w:color="auto"/>
            <w:right w:val="none" w:sz="0" w:space="0" w:color="auto"/>
          </w:divBdr>
        </w:div>
        <w:div w:id="101850924">
          <w:marLeft w:val="446"/>
          <w:marRight w:val="0"/>
          <w:marTop w:val="0"/>
          <w:marBottom w:val="0"/>
          <w:divBdr>
            <w:top w:val="none" w:sz="0" w:space="0" w:color="auto"/>
            <w:left w:val="none" w:sz="0" w:space="0" w:color="auto"/>
            <w:bottom w:val="none" w:sz="0" w:space="0" w:color="auto"/>
            <w:right w:val="none" w:sz="0" w:space="0" w:color="auto"/>
          </w:divBdr>
        </w:div>
        <w:div w:id="1930503200">
          <w:marLeft w:val="446"/>
          <w:marRight w:val="0"/>
          <w:marTop w:val="0"/>
          <w:marBottom w:val="0"/>
          <w:divBdr>
            <w:top w:val="none" w:sz="0" w:space="0" w:color="auto"/>
            <w:left w:val="none" w:sz="0" w:space="0" w:color="auto"/>
            <w:bottom w:val="none" w:sz="0" w:space="0" w:color="auto"/>
            <w:right w:val="none" w:sz="0" w:space="0" w:color="auto"/>
          </w:divBdr>
        </w:div>
      </w:divsChild>
    </w:div>
    <w:div w:id="1633707476">
      <w:bodyDiv w:val="1"/>
      <w:marLeft w:val="0"/>
      <w:marRight w:val="0"/>
      <w:marTop w:val="0"/>
      <w:marBottom w:val="0"/>
      <w:divBdr>
        <w:top w:val="none" w:sz="0" w:space="0" w:color="auto"/>
        <w:left w:val="none" w:sz="0" w:space="0" w:color="auto"/>
        <w:bottom w:val="none" w:sz="0" w:space="0" w:color="auto"/>
        <w:right w:val="none" w:sz="0" w:space="0" w:color="auto"/>
      </w:divBdr>
      <w:divsChild>
        <w:div w:id="1438409230">
          <w:marLeft w:val="547"/>
          <w:marRight w:val="0"/>
          <w:marTop w:val="0"/>
          <w:marBottom w:val="0"/>
          <w:divBdr>
            <w:top w:val="none" w:sz="0" w:space="0" w:color="auto"/>
            <w:left w:val="none" w:sz="0" w:space="0" w:color="auto"/>
            <w:bottom w:val="none" w:sz="0" w:space="0" w:color="auto"/>
            <w:right w:val="none" w:sz="0" w:space="0" w:color="auto"/>
          </w:divBdr>
        </w:div>
      </w:divsChild>
    </w:div>
    <w:div w:id="1634404952">
      <w:bodyDiv w:val="1"/>
      <w:marLeft w:val="0"/>
      <w:marRight w:val="0"/>
      <w:marTop w:val="0"/>
      <w:marBottom w:val="0"/>
      <w:divBdr>
        <w:top w:val="none" w:sz="0" w:space="0" w:color="auto"/>
        <w:left w:val="none" w:sz="0" w:space="0" w:color="auto"/>
        <w:bottom w:val="none" w:sz="0" w:space="0" w:color="auto"/>
        <w:right w:val="none" w:sz="0" w:space="0" w:color="auto"/>
      </w:divBdr>
    </w:div>
    <w:div w:id="1637833180">
      <w:bodyDiv w:val="1"/>
      <w:marLeft w:val="0"/>
      <w:marRight w:val="0"/>
      <w:marTop w:val="0"/>
      <w:marBottom w:val="0"/>
      <w:divBdr>
        <w:top w:val="none" w:sz="0" w:space="0" w:color="auto"/>
        <w:left w:val="none" w:sz="0" w:space="0" w:color="auto"/>
        <w:bottom w:val="none" w:sz="0" w:space="0" w:color="auto"/>
        <w:right w:val="none" w:sz="0" w:space="0" w:color="auto"/>
      </w:divBdr>
    </w:div>
    <w:div w:id="1639725656">
      <w:bodyDiv w:val="1"/>
      <w:marLeft w:val="0"/>
      <w:marRight w:val="0"/>
      <w:marTop w:val="0"/>
      <w:marBottom w:val="0"/>
      <w:divBdr>
        <w:top w:val="none" w:sz="0" w:space="0" w:color="auto"/>
        <w:left w:val="none" w:sz="0" w:space="0" w:color="auto"/>
        <w:bottom w:val="none" w:sz="0" w:space="0" w:color="auto"/>
        <w:right w:val="none" w:sz="0" w:space="0" w:color="auto"/>
      </w:divBdr>
      <w:divsChild>
        <w:div w:id="1423258962">
          <w:marLeft w:val="1987"/>
          <w:marRight w:val="0"/>
          <w:marTop w:val="0"/>
          <w:marBottom w:val="120"/>
          <w:divBdr>
            <w:top w:val="none" w:sz="0" w:space="0" w:color="auto"/>
            <w:left w:val="none" w:sz="0" w:space="0" w:color="auto"/>
            <w:bottom w:val="none" w:sz="0" w:space="0" w:color="auto"/>
            <w:right w:val="none" w:sz="0" w:space="0" w:color="auto"/>
          </w:divBdr>
        </w:div>
        <w:div w:id="562064661">
          <w:marLeft w:val="1987"/>
          <w:marRight w:val="0"/>
          <w:marTop w:val="0"/>
          <w:marBottom w:val="120"/>
          <w:divBdr>
            <w:top w:val="none" w:sz="0" w:space="0" w:color="auto"/>
            <w:left w:val="none" w:sz="0" w:space="0" w:color="auto"/>
            <w:bottom w:val="none" w:sz="0" w:space="0" w:color="auto"/>
            <w:right w:val="none" w:sz="0" w:space="0" w:color="auto"/>
          </w:divBdr>
        </w:div>
      </w:divsChild>
    </w:div>
    <w:div w:id="1665431720">
      <w:bodyDiv w:val="1"/>
      <w:marLeft w:val="0"/>
      <w:marRight w:val="0"/>
      <w:marTop w:val="0"/>
      <w:marBottom w:val="0"/>
      <w:divBdr>
        <w:top w:val="none" w:sz="0" w:space="0" w:color="auto"/>
        <w:left w:val="none" w:sz="0" w:space="0" w:color="auto"/>
        <w:bottom w:val="none" w:sz="0" w:space="0" w:color="auto"/>
        <w:right w:val="none" w:sz="0" w:space="0" w:color="auto"/>
      </w:divBdr>
      <w:divsChild>
        <w:div w:id="790245840">
          <w:marLeft w:val="446"/>
          <w:marRight w:val="0"/>
          <w:marTop w:val="0"/>
          <w:marBottom w:val="0"/>
          <w:divBdr>
            <w:top w:val="none" w:sz="0" w:space="0" w:color="auto"/>
            <w:left w:val="none" w:sz="0" w:space="0" w:color="auto"/>
            <w:bottom w:val="none" w:sz="0" w:space="0" w:color="auto"/>
            <w:right w:val="none" w:sz="0" w:space="0" w:color="auto"/>
          </w:divBdr>
        </w:div>
        <w:div w:id="1466393229">
          <w:marLeft w:val="446"/>
          <w:marRight w:val="0"/>
          <w:marTop w:val="0"/>
          <w:marBottom w:val="0"/>
          <w:divBdr>
            <w:top w:val="none" w:sz="0" w:space="0" w:color="auto"/>
            <w:left w:val="none" w:sz="0" w:space="0" w:color="auto"/>
            <w:bottom w:val="none" w:sz="0" w:space="0" w:color="auto"/>
            <w:right w:val="none" w:sz="0" w:space="0" w:color="auto"/>
          </w:divBdr>
        </w:div>
        <w:div w:id="1598979751">
          <w:marLeft w:val="446"/>
          <w:marRight w:val="0"/>
          <w:marTop w:val="0"/>
          <w:marBottom w:val="0"/>
          <w:divBdr>
            <w:top w:val="none" w:sz="0" w:space="0" w:color="auto"/>
            <w:left w:val="none" w:sz="0" w:space="0" w:color="auto"/>
            <w:bottom w:val="none" w:sz="0" w:space="0" w:color="auto"/>
            <w:right w:val="none" w:sz="0" w:space="0" w:color="auto"/>
          </w:divBdr>
        </w:div>
        <w:div w:id="2038457840">
          <w:marLeft w:val="446"/>
          <w:marRight w:val="0"/>
          <w:marTop w:val="0"/>
          <w:marBottom w:val="0"/>
          <w:divBdr>
            <w:top w:val="none" w:sz="0" w:space="0" w:color="auto"/>
            <w:left w:val="none" w:sz="0" w:space="0" w:color="auto"/>
            <w:bottom w:val="none" w:sz="0" w:space="0" w:color="auto"/>
            <w:right w:val="none" w:sz="0" w:space="0" w:color="auto"/>
          </w:divBdr>
        </w:div>
        <w:div w:id="1707564854">
          <w:marLeft w:val="446"/>
          <w:marRight w:val="0"/>
          <w:marTop w:val="0"/>
          <w:marBottom w:val="0"/>
          <w:divBdr>
            <w:top w:val="none" w:sz="0" w:space="0" w:color="auto"/>
            <w:left w:val="none" w:sz="0" w:space="0" w:color="auto"/>
            <w:bottom w:val="none" w:sz="0" w:space="0" w:color="auto"/>
            <w:right w:val="none" w:sz="0" w:space="0" w:color="auto"/>
          </w:divBdr>
        </w:div>
        <w:div w:id="1216701094">
          <w:marLeft w:val="446"/>
          <w:marRight w:val="0"/>
          <w:marTop w:val="0"/>
          <w:marBottom w:val="0"/>
          <w:divBdr>
            <w:top w:val="none" w:sz="0" w:space="0" w:color="auto"/>
            <w:left w:val="none" w:sz="0" w:space="0" w:color="auto"/>
            <w:bottom w:val="none" w:sz="0" w:space="0" w:color="auto"/>
            <w:right w:val="none" w:sz="0" w:space="0" w:color="auto"/>
          </w:divBdr>
        </w:div>
        <w:div w:id="1034962825">
          <w:marLeft w:val="446"/>
          <w:marRight w:val="0"/>
          <w:marTop w:val="0"/>
          <w:marBottom w:val="0"/>
          <w:divBdr>
            <w:top w:val="none" w:sz="0" w:space="0" w:color="auto"/>
            <w:left w:val="none" w:sz="0" w:space="0" w:color="auto"/>
            <w:bottom w:val="none" w:sz="0" w:space="0" w:color="auto"/>
            <w:right w:val="none" w:sz="0" w:space="0" w:color="auto"/>
          </w:divBdr>
        </w:div>
      </w:divsChild>
    </w:div>
    <w:div w:id="1676373038">
      <w:bodyDiv w:val="1"/>
      <w:marLeft w:val="0"/>
      <w:marRight w:val="0"/>
      <w:marTop w:val="0"/>
      <w:marBottom w:val="0"/>
      <w:divBdr>
        <w:top w:val="none" w:sz="0" w:space="0" w:color="auto"/>
        <w:left w:val="none" w:sz="0" w:space="0" w:color="auto"/>
        <w:bottom w:val="none" w:sz="0" w:space="0" w:color="auto"/>
        <w:right w:val="none" w:sz="0" w:space="0" w:color="auto"/>
      </w:divBdr>
    </w:div>
    <w:div w:id="1682275376">
      <w:bodyDiv w:val="1"/>
      <w:marLeft w:val="0"/>
      <w:marRight w:val="0"/>
      <w:marTop w:val="0"/>
      <w:marBottom w:val="0"/>
      <w:divBdr>
        <w:top w:val="none" w:sz="0" w:space="0" w:color="auto"/>
        <w:left w:val="none" w:sz="0" w:space="0" w:color="auto"/>
        <w:bottom w:val="none" w:sz="0" w:space="0" w:color="auto"/>
        <w:right w:val="none" w:sz="0" w:space="0" w:color="auto"/>
      </w:divBdr>
    </w:div>
    <w:div w:id="1682970469">
      <w:bodyDiv w:val="1"/>
      <w:marLeft w:val="0"/>
      <w:marRight w:val="0"/>
      <w:marTop w:val="0"/>
      <w:marBottom w:val="0"/>
      <w:divBdr>
        <w:top w:val="none" w:sz="0" w:space="0" w:color="auto"/>
        <w:left w:val="none" w:sz="0" w:space="0" w:color="auto"/>
        <w:bottom w:val="none" w:sz="0" w:space="0" w:color="auto"/>
        <w:right w:val="none" w:sz="0" w:space="0" w:color="auto"/>
      </w:divBdr>
    </w:div>
    <w:div w:id="1692144206">
      <w:bodyDiv w:val="1"/>
      <w:marLeft w:val="0"/>
      <w:marRight w:val="0"/>
      <w:marTop w:val="0"/>
      <w:marBottom w:val="0"/>
      <w:divBdr>
        <w:top w:val="none" w:sz="0" w:space="0" w:color="auto"/>
        <w:left w:val="none" w:sz="0" w:space="0" w:color="auto"/>
        <w:bottom w:val="none" w:sz="0" w:space="0" w:color="auto"/>
        <w:right w:val="none" w:sz="0" w:space="0" w:color="auto"/>
      </w:divBdr>
    </w:div>
    <w:div w:id="1694767297">
      <w:bodyDiv w:val="1"/>
      <w:marLeft w:val="0"/>
      <w:marRight w:val="0"/>
      <w:marTop w:val="0"/>
      <w:marBottom w:val="0"/>
      <w:divBdr>
        <w:top w:val="none" w:sz="0" w:space="0" w:color="auto"/>
        <w:left w:val="none" w:sz="0" w:space="0" w:color="auto"/>
        <w:bottom w:val="none" w:sz="0" w:space="0" w:color="auto"/>
        <w:right w:val="none" w:sz="0" w:space="0" w:color="auto"/>
      </w:divBdr>
    </w:div>
    <w:div w:id="1698893661">
      <w:bodyDiv w:val="1"/>
      <w:marLeft w:val="0"/>
      <w:marRight w:val="0"/>
      <w:marTop w:val="0"/>
      <w:marBottom w:val="0"/>
      <w:divBdr>
        <w:top w:val="none" w:sz="0" w:space="0" w:color="auto"/>
        <w:left w:val="none" w:sz="0" w:space="0" w:color="auto"/>
        <w:bottom w:val="none" w:sz="0" w:space="0" w:color="auto"/>
        <w:right w:val="none" w:sz="0" w:space="0" w:color="auto"/>
      </w:divBdr>
    </w:div>
    <w:div w:id="1713193392">
      <w:bodyDiv w:val="1"/>
      <w:marLeft w:val="0"/>
      <w:marRight w:val="0"/>
      <w:marTop w:val="0"/>
      <w:marBottom w:val="0"/>
      <w:divBdr>
        <w:top w:val="none" w:sz="0" w:space="0" w:color="auto"/>
        <w:left w:val="none" w:sz="0" w:space="0" w:color="auto"/>
        <w:bottom w:val="none" w:sz="0" w:space="0" w:color="auto"/>
        <w:right w:val="none" w:sz="0" w:space="0" w:color="auto"/>
      </w:divBdr>
    </w:div>
    <w:div w:id="1714571939">
      <w:bodyDiv w:val="1"/>
      <w:marLeft w:val="0"/>
      <w:marRight w:val="0"/>
      <w:marTop w:val="0"/>
      <w:marBottom w:val="0"/>
      <w:divBdr>
        <w:top w:val="none" w:sz="0" w:space="0" w:color="auto"/>
        <w:left w:val="none" w:sz="0" w:space="0" w:color="auto"/>
        <w:bottom w:val="none" w:sz="0" w:space="0" w:color="auto"/>
        <w:right w:val="none" w:sz="0" w:space="0" w:color="auto"/>
      </w:divBdr>
    </w:div>
    <w:div w:id="1735277355">
      <w:bodyDiv w:val="1"/>
      <w:marLeft w:val="0"/>
      <w:marRight w:val="0"/>
      <w:marTop w:val="0"/>
      <w:marBottom w:val="0"/>
      <w:divBdr>
        <w:top w:val="none" w:sz="0" w:space="0" w:color="auto"/>
        <w:left w:val="none" w:sz="0" w:space="0" w:color="auto"/>
        <w:bottom w:val="none" w:sz="0" w:space="0" w:color="auto"/>
        <w:right w:val="none" w:sz="0" w:space="0" w:color="auto"/>
      </w:divBdr>
    </w:div>
    <w:div w:id="1736463549">
      <w:bodyDiv w:val="1"/>
      <w:marLeft w:val="0"/>
      <w:marRight w:val="0"/>
      <w:marTop w:val="0"/>
      <w:marBottom w:val="0"/>
      <w:divBdr>
        <w:top w:val="none" w:sz="0" w:space="0" w:color="auto"/>
        <w:left w:val="none" w:sz="0" w:space="0" w:color="auto"/>
        <w:bottom w:val="none" w:sz="0" w:space="0" w:color="auto"/>
        <w:right w:val="none" w:sz="0" w:space="0" w:color="auto"/>
      </w:divBdr>
    </w:div>
    <w:div w:id="1748305961">
      <w:bodyDiv w:val="1"/>
      <w:marLeft w:val="0"/>
      <w:marRight w:val="0"/>
      <w:marTop w:val="0"/>
      <w:marBottom w:val="0"/>
      <w:divBdr>
        <w:top w:val="none" w:sz="0" w:space="0" w:color="auto"/>
        <w:left w:val="none" w:sz="0" w:space="0" w:color="auto"/>
        <w:bottom w:val="none" w:sz="0" w:space="0" w:color="auto"/>
        <w:right w:val="none" w:sz="0" w:space="0" w:color="auto"/>
      </w:divBdr>
    </w:div>
    <w:div w:id="1751997915">
      <w:bodyDiv w:val="1"/>
      <w:marLeft w:val="0"/>
      <w:marRight w:val="0"/>
      <w:marTop w:val="0"/>
      <w:marBottom w:val="0"/>
      <w:divBdr>
        <w:top w:val="none" w:sz="0" w:space="0" w:color="auto"/>
        <w:left w:val="none" w:sz="0" w:space="0" w:color="auto"/>
        <w:bottom w:val="none" w:sz="0" w:space="0" w:color="auto"/>
        <w:right w:val="none" w:sz="0" w:space="0" w:color="auto"/>
      </w:divBdr>
    </w:div>
    <w:div w:id="1756320253">
      <w:bodyDiv w:val="1"/>
      <w:marLeft w:val="0"/>
      <w:marRight w:val="0"/>
      <w:marTop w:val="0"/>
      <w:marBottom w:val="0"/>
      <w:divBdr>
        <w:top w:val="none" w:sz="0" w:space="0" w:color="auto"/>
        <w:left w:val="none" w:sz="0" w:space="0" w:color="auto"/>
        <w:bottom w:val="none" w:sz="0" w:space="0" w:color="auto"/>
        <w:right w:val="none" w:sz="0" w:space="0" w:color="auto"/>
      </w:divBdr>
      <w:divsChild>
        <w:div w:id="732851041">
          <w:marLeft w:val="288"/>
          <w:marRight w:val="0"/>
          <w:marTop w:val="0"/>
          <w:marBottom w:val="0"/>
          <w:divBdr>
            <w:top w:val="none" w:sz="0" w:space="0" w:color="auto"/>
            <w:left w:val="none" w:sz="0" w:space="0" w:color="auto"/>
            <w:bottom w:val="none" w:sz="0" w:space="0" w:color="auto"/>
            <w:right w:val="none" w:sz="0" w:space="0" w:color="auto"/>
          </w:divBdr>
        </w:div>
        <w:div w:id="2102946441">
          <w:marLeft w:val="1886"/>
          <w:marRight w:val="0"/>
          <w:marTop w:val="0"/>
          <w:marBottom w:val="0"/>
          <w:divBdr>
            <w:top w:val="none" w:sz="0" w:space="0" w:color="auto"/>
            <w:left w:val="none" w:sz="0" w:space="0" w:color="auto"/>
            <w:bottom w:val="none" w:sz="0" w:space="0" w:color="auto"/>
            <w:right w:val="none" w:sz="0" w:space="0" w:color="auto"/>
          </w:divBdr>
        </w:div>
        <w:div w:id="1100757109">
          <w:marLeft w:val="1886"/>
          <w:marRight w:val="0"/>
          <w:marTop w:val="0"/>
          <w:marBottom w:val="0"/>
          <w:divBdr>
            <w:top w:val="none" w:sz="0" w:space="0" w:color="auto"/>
            <w:left w:val="none" w:sz="0" w:space="0" w:color="auto"/>
            <w:bottom w:val="none" w:sz="0" w:space="0" w:color="auto"/>
            <w:right w:val="none" w:sz="0" w:space="0" w:color="auto"/>
          </w:divBdr>
        </w:div>
        <w:div w:id="1815247202">
          <w:marLeft w:val="2606"/>
          <w:marRight w:val="0"/>
          <w:marTop w:val="0"/>
          <w:marBottom w:val="0"/>
          <w:divBdr>
            <w:top w:val="none" w:sz="0" w:space="0" w:color="auto"/>
            <w:left w:val="none" w:sz="0" w:space="0" w:color="auto"/>
            <w:bottom w:val="none" w:sz="0" w:space="0" w:color="auto"/>
            <w:right w:val="none" w:sz="0" w:space="0" w:color="auto"/>
          </w:divBdr>
        </w:div>
        <w:div w:id="1292595084">
          <w:marLeft w:val="2606"/>
          <w:marRight w:val="0"/>
          <w:marTop w:val="0"/>
          <w:marBottom w:val="0"/>
          <w:divBdr>
            <w:top w:val="none" w:sz="0" w:space="0" w:color="auto"/>
            <w:left w:val="none" w:sz="0" w:space="0" w:color="auto"/>
            <w:bottom w:val="none" w:sz="0" w:space="0" w:color="auto"/>
            <w:right w:val="none" w:sz="0" w:space="0" w:color="auto"/>
          </w:divBdr>
        </w:div>
      </w:divsChild>
    </w:div>
    <w:div w:id="1758860952">
      <w:bodyDiv w:val="1"/>
      <w:marLeft w:val="0"/>
      <w:marRight w:val="0"/>
      <w:marTop w:val="0"/>
      <w:marBottom w:val="0"/>
      <w:divBdr>
        <w:top w:val="none" w:sz="0" w:space="0" w:color="auto"/>
        <w:left w:val="none" w:sz="0" w:space="0" w:color="auto"/>
        <w:bottom w:val="none" w:sz="0" w:space="0" w:color="auto"/>
        <w:right w:val="none" w:sz="0" w:space="0" w:color="auto"/>
      </w:divBdr>
    </w:div>
    <w:div w:id="1759407373">
      <w:bodyDiv w:val="1"/>
      <w:marLeft w:val="0"/>
      <w:marRight w:val="0"/>
      <w:marTop w:val="0"/>
      <w:marBottom w:val="0"/>
      <w:divBdr>
        <w:top w:val="none" w:sz="0" w:space="0" w:color="auto"/>
        <w:left w:val="none" w:sz="0" w:space="0" w:color="auto"/>
        <w:bottom w:val="none" w:sz="0" w:space="0" w:color="auto"/>
        <w:right w:val="none" w:sz="0" w:space="0" w:color="auto"/>
      </w:divBdr>
    </w:div>
    <w:div w:id="1769813282">
      <w:bodyDiv w:val="1"/>
      <w:marLeft w:val="0"/>
      <w:marRight w:val="0"/>
      <w:marTop w:val="0"/>
      <w:marBottom w:val="0"/>
      <w:divBdr>
        <w:top w:val="none" w:sz="0" w:space="0" w:color="auto"/>
        <w:left w:val="none" w:sz="0" w:space="0" w:color="auto"/>
        <w:bottom w:val="none" w:sz="0" w:space="0" w:color="auto"/>
        <w:right w:val="none" w:sz="0" w:space="0" w:color="auto"/>
      </w:divBdr>
      <w:divsChild>
        <w:div w:id="1866357339">
          <w:marLeft w:val="720"/>
          <w:marRight w:val="0"/>
          <w:marTop w:val="0"/>
          <w:marBottom w:val="120"/>
          <w:divBdr>
            <w:top w:val="none" w:sz="0" w:space="0" w:color="auto"/>
            <w:left w:val="none" w:sz="0" w:space="0" w:color="auto"/>
            <w:bottom w:val="none" w:sz="0" w:space="0" w:color="auto"/>
            <w:right w:val="none" w:sz="0" w:space="0" w:color="auto"/>
          </w:divBdr>
        </w:div>
      </w:divsChild>
    </w:div>
    <w:div w:id="1774980226">
      <w:bodyDiv w:val="1"/>
      <w:marLeft w:val="0"/>
      <w:marRight w:val="0"/>
      <w:marTop w:val="0"/>
      <w:marBottom w:val="0"/>
      <w:divBdr>
        <w:top w:val="none" w:sz="0" w:space="0" w:color="auto"/>
        <w:left w:val="none" w:sz="0" w:space="0" w:color="auto"/>
        <w:bottom w:val="none" w:sz="0" w:space="0" w:color="auto"/>
        <w:right w:val="none" w:sz="0" w:space="0" w:color="auto"/>
      </w:divBdr>
    </w:div>
    <w:div w:id="1814757412">
      <w:bodyDiv w:val="1"/>
      <w:marLeft w:val="0"/>
      <w:marRight w:val="0"/>
      <w:marTop w:val="0"/>
      <w:marBottom w:val="0"/>
      <w:divBdr>
        <w:top w:val="none" w:sz="0" w:space="0" w:color="auto"/>
        <w:left w:val="none" w:sz="0" w:space="0" w:color="auto"/>
        <w:bottom w:val="none" w:sz="0" w:space="0" w:color="auto"/>
        <w:right w:val="none" w:sz="0" w:space="0" w:color="auto"/>
      </w:divBdr>
      <w:divsChild>
        <w:div w:id="210581588">
          <w:marLeft w:val="547"/>
          <w:marRight w:val="0"/>
          <w:marTop w:val="0"/>
          <w:marBottom w:val="0"/>
          <w:divBdr>
            <w:top w:val="none" w:sz="0" w:space="0" w:color="auto"/>
            <w:left w:val="none" w:sz="0" w:space="0" w:color="auto"/>
            <w:bottom w:val="none" w:sz="0" w:space="0" w:color="auto"/>
            <w:right w:val="none" w:sz="0" w:space="0" w:color="auto"/>
          </w:divBdr>
        </w:div>
        <w:div w:id="295795468">
          <w:marLeft w:val="547"/>
          <w:marRight w:val="0"/>
          <w:marTop w:val="0"/>
          <w:marBottom w:val="0"/>
          <w:divBdr>
            <w:top w:val="none" w:sz="0" w:space="0" w:color="auto"/>
            <w:left w:val="none" w:sz="0" w:space="0" w:color="auto"/>
            <w:bottom w:val="none" w:sz="0" w:space="0" w:color="auto"/>
            <w:right w:val="none" w:sz="0" w:space="0" w:color="auto"/>
          </w:divBdr>
        </w:div>
        <w:div w:id="826944147">
          <w:marLeft w:val="547"/>
          <w:marRight w:val="0"/>
          <w:marTop w:val="0"/>
          <w:marBottom w:val="0"/>
          <w:divBdr>
            <w:top w:val="none" w:sz="0" w:space="0" w:color="auto"/>
            <w:left w:val="none" w:sz="0" w:space="0" w:color="auto"/>
            <w:bottom w:val="none" w:sz="0" w:space="0" w:color="auto"/>
            <w:right w:val="none" w:sz="0" w:space="0" w:color="auto"/>
          </w:divBdr>
        </w:div>
      </w:divsChild>
    </w:div>
    <w:div w:id="1820074270">
      <w:bodyDiv w:val="1"/>
      <w:marLeft w:val="0"/>
      <w:marRight w:val="0"/>
      <w:marTop w:val="0"/>
      <w:marBottom w:val="0"/>
      <w:divBdr>
        <w:top w:val="none" w:sz="0" w:space="0" w:color="auto"/>
        <w:left w:val="none" w:sz="0" w:space="0" w:color="auto"/>
        <w:bottom w:val="none" w:sz="0" w:space="0" w:color="auto"/>
        <w:right w:val="none" w:sz="0" w:space="0" w:color="auto"/>
      </w:divBdr>
      <w:divsChild>
        <w:div w:id="1643774795">
          <w:marLeft w:val="547"/>
          <w:marRight w:val="0"/>
          <w:marTop w:val="0"/>
          <w:marBottom w:val="0"/>
          <w:divBdr>
            <w:top w:val="none" w:sz="0" w:space="0" w:color="auto"/>
            <w:left w:val="none" w:sz="0" w:space="0" w:color="auto"/>
            <w:bottom w:val="none" w:sz="0" w:space="0" w:color="auto"/>
            <w:right w:val="none" w:sz="0" w:space="0" w:color="auto"/>
          </w:divBdr>
        </w:div>
      </w:divsChild>
    </w:div>
    <w:div w:id="1828549781">
      <w:bodyDiv w:val="1"/>
      <w:marLeft w:val="0"/>
      <w:marRight w:val="0"/>
      <w:marTop w:val="0"/>
      <w:marBottom w:val="0"/>
      <w:divBdr>
        <w:top w:val="none" w:sz="0" w:space="0" w:color="auto"/>
        <w:left w:val="none" w:sz="0" w:space="0" w:color="auto"/>
        <w:bottom w:val="none" w:sz="0" w:space="0" w:color="auto"/>
        <w:right w:val="none" w:sz="0" w:space="0" w:color="auto"/>
      </w:divBdr>
    </w:div>
    <w:div w:id="1839151694">
      <w:bodyDiv w:val="1"/>
      <w:marLeft w:val="0"/>
      <w:marRight w:val="0"/>
      <w:marTop w:val="0"/>
      <w:marBottom w:val="0"/>
      <w:divBdr>
        <w:top w:val="none" w:sz="0" w:space="0" w:color="auto"/>
        <w:left w:val="none" w:sz="0" w:space="0" w:color="auto"/>
        <w:bottom w:val="none" w:sz="0" w:space="0" w:color="auto"/>
        <w:right w:val="none" w:sz="0" w:space="0" w:color="auto"/>
      </w:divBdr>
    </w:div>
    <w:div w:id="1840849010">
      <w:bodyDiv w:val="1"/>
      <w:marLeft w:val="0"/>
      <w:marRight w:val="0"/>
      <w:marTop w:val="0"/>
      <w:marBottom w:val="0"/>
      <w:divBdr>
        <w:top w:val="none" w:sz="0" w:space="0" w:color="auto"/>
        <w:left w:val="none" w:sz="0" w:space="0" w:color="auto"/>
        <w:bottom w:val="none" w:sz="0" w:space="0" w:color="auto"/>
        <w:right w:val="none" w:sz="0" w:space="0" w:color="auto"/>
      </w:divBdr>
    </w:div>
    <w:div w:id="1870604212">
      <w:bodyDiv w:val="1"/>
      <w:marLeft w:val="0"/>
      <w:marRight w:val="0"/>
      <w:marTop w:val="0"/>
      <w:marBottom w:val="0"/>
      <w:divBdr>
        <w:top w:val="none" w:sz="0" w:space="0" w:color="auto"/>
        <w:left w:val="none" w:sz="0" w:space="0" w:color="auto"/>
        <w:bottom w:val="none" w:sz="0" w:space="0" w:color="auto"/>
        <w:right w:val="none" w:sz="0" w:space="0" w:color="auto"/>
      </w:divBdr>
    </w:div>
    <w:div w:id="1878006279">
      <w:bodyDiv w:val="1"/>
      <w:marLeft w:val="0"/>
      <w:marRight w:val="0"/>
      <w:marTop w:val="0"/>
      <w:marBottom w:val="0"/>
      <w:divBdr>
        <w:top w:val="none" w:sz="0" w:space="0" w:color="auto"/>
        <w:left w:val="none" w:sz="0" w:space="0" w:color="auto"/>
        <w:bottom w:val="none" w:sz="0" w:space="0" w:color="auto"/>
        <w:right w:val="none" w:sz="0" w:space="0" w:color="auto"/>
      </w:divBdr>
    </w:div>
    <w:div w:id="1878660699">
      <w:bodyDiv w:val="1"/>
      <w:marLeft w:val="0"/>
      <w:marRight w:val="0"/>
      <w:marTop w:val="0"/>
      <w:marBottom w:val="0"/>
      <w:divBdr>
        <w:top w:val="none" w:sz="0" w:space="0" w:color="auto"/>
        <w:left w:val="none" w:sz="0" w:space="0" w:color="auto"/>
        <w:bottom w:val="none" w:sz="0" w:space="0" w:color="auto"/>
        <w:right w:val="none" w:sz="0" w:space="0" w:color="auto"/>
      </w:divBdr>
    </w:div>
    <w:div w:id="1880047631">
      <w:bodyDiv w:val="1"/>
      <w:marLeft w:val="0"/>
      <w:marRight w:val="0"/>
      <w:marTop w:val="0"/>
      <w:marBottom w:val="0"/>
      <w:divBdr>
        <w:top w:val="none" w:sz="0" w:space="0" w:color="auto"/>
        <w:left w:val="none" w:sz="0" w:space="0" w:color="auto"/>
        <w:bottom w:val="none" w:sz="0" w:space="0" w:color="auto"/>
        <w:right w:val="none" w:sz="0" w:space="0" w:color="auto"/>
      </w:divBdr>
      <w:divsChild>
        <w:div w:id="697313159">
          <w:marLeft w:val="288"/>
          <w:marRight w:val="0"/>
          <w:marTop w:val="0"/>
          <w:marBottom w:val="120"/>
          <w:divBdr>
            <w:top w:val="none" w:sz="0" w:space="0" w:color="auto"/>
            <w:left w:val="none" w:sz="0" w:space="0" w:color="auto"/>
            <w:bottom w:val="none" w:sz="0" w:space="0" w:color="auto"/>
            <w:right w:val="none" w:sz="0" w:space="0" w:color="auto"/>
          </w:divBdr>
        </w:div>
      </w:divsChild>
    </w:div>
    <w:div w:id="1880848884">
      <w:bodyDiv w:val="1"/>
      <w:marLeft w:val="0"/>
      <w:marRight w:val="0"/>
      <w:marTop w:val="0"/>
      <w:marBottom w:val="0"/>
      <w:divBdr>
        <w:top w:val="none" w:sz="0" w:space="0" w:color="auto"/>
        <w:left w:val="none" w:sz="0" w:space="0" w:color="auto"/>
        <w:bottom w:val="none" w:sz="0" w:space="0" w:color="auto"/>
        <w:right w:val="none" w:sz="0" w:space="0" w:color="auto"/>
      </w:divBdr>
    </w:div>
    <w:div w:id="1895432603">
      <w:bodyDiv w:val="1"/>
      <w:marLeft w:val="0"/>
      <w:marRight w:val="0"/>
      <w:marTop w:val="0"/>
      <w:marBottom w:val="0"/>
      <w:divBdr>
        <w:top w:val="none" w:sz="0" w:space="0" w:color="auto"/>
        <w:left w:val="none" w:sz="0" w:space="0" w:color="auto"/>
        <w:bottom w:val="none" w:sz="0" w:space="0" w:color="auto"/>
        <w:right w:val="none" w:sz="0" w:space="0" w:color="auto"/>
      </w:divBdr>
      <w:divsChild>
        <w:div w:id="914242797">
          <w:marLeft w:val="288"/>
          <w:marRight w:val="0"/>
          <w:marTop w:val="0"/>
          <w:marBottom w:val="120"/>
          <w:divBdr>
            <w:top w:val="none" w:sz="0" w:space="0" w:color="auto"/>
            <w:left w:val="none" w:sz="0" w:space="0" w:color="auto"/>
            <w:bottom w:val="none" w:sz="0" w:space="0" w:color="auto"/>
            <w:right w:val="none" w:sz="0" w:space="0" w:color="auto"/>
          </w:divBdr>
        </w:div>
      </w:divsChild>
    </w:div>
    <w:div w:id="1899244335">
      <w:bodyDiv w:val="1"/>
      <w:marLeft w:val="0"/>
      <w:marRight w:val="0"/>
      <w:marTop w:val="0"/>
      <w:marBottom w:val="0"/>
      <w:divBdr>
        <w:top w:val="none" w:sz="0" w:space="0" w:color="auto"/>
        <w:left w:val="none" w:sz="0" w:space="0" w:color="auto"/>
        <w:bottom w:val="none" w:sz="0" w:space="0" w:color="auto"/>
        <w:right w:val="none" w:sz="0" w:space="0" w:color="auto"/>
      </w:divBdr>
    </w:div>
    <w:div w:id="1919438093">
      <w:bodyDiv w:val="1"/>
      <w:marLeft w:val="0"/>
      <w:marRight w:val="0"/>
      <w:marTop w:val="0"/>
      <w:marBottom w:val="0"/>
      <w:divBdr>
        <w:top w:val="none" w:sz="0" w:space="0" w:color="auto"/>
        <w:left w:val="none" w:sz="0" w:space="0" w:color="auto"/>
        <w:bottom w:val="none" w:sz="0" w:space="0" w:color="auto"/>
        <w:right w:val="none" w:sz="0" w:space="0" w:color="auto"/>
      </w:divBdr>
      <w:divsChild>
        <w:div w:id="1249729300">
          <w:marLeft w:val="1166"/>
          <w:marRight w:val="0"/>
          <w:marTop w:val="0"/>
          <w:marBottom w:val="0"/>
          <w:divBdr>
            <w:top w:val="none" w:sz="0" w:space="0" w:color="auto"/>
            <w:left w:val="none" w:sz="0" w:space="0" w:color="auto"/>
            <w:bottom w:val="none" w:sz="0" w:space="0" w:color="auto"/>
            <w:right w:val="none" w:sz="0" w:space="0" w:color="auto"/>
          </w:divBdr>
        </w:div>
        <w:div w:id="532887368">
          <w:marLeft w:val="1166"/>
          <w:marRight w:val="0"/>
          <w:marTop w:val="0"/>
          <w:marBottom w:val="0"/>
          <w:divBdr>
            <w:top w:val="none" w:sz="0" w:space="0" w:color="auto"/>
            <w:left w:val="none" w:sz="0" w:space="0" w:color="auto"/>
            <w:bottom w:val="none" w:sz="0" w:space="0" w:color="auto"/>
            <w:right w:val="none" w:sz="0" w:space="0" w:color="auto"/>
          </w:divBdr>
        </w:div>
        <w:div w:id="1250768226">
          <w:marLeft w:val="1166"/>
          <w:marRight w:val="0"/>
          <w:marTop w:val="0"/>
          <w:marBottom w:val="0"/>
          <w:divBdr>
            <w:top w:val="none" w:sz="0" w:space="0" w:color="auto"/>
            <w:left w:val="none" w:sz="0" w:space="0" w:color="auto"/>
            <w:bottom w:val="none" w:sz="0" w:space="0" w:color="auto"/>
            <w:right w:val="none" w:sz="0" w:space="0" w:color="auto"/>
          </w:divBdr>
        </w:div>
        <w:div w:id="353724586">
          <w:marLeft w:val="1166"/>
          <w:marRight w:val="0"/>
          <w:marTop w:val="0"/>
          <w:marBottom w:val="0"/>
          <w:divBdr>
            <w:top w:val="none" w:sz="0" w:space="0" w:color="auto"/>
            <w:left w:val="none" w:sz="0" w:space="0" w:color="auto"/>
            <w:bottom w:val="none" w:sz="0" w:space="0" w:color="auto"/>
            <w:right w:val="none" w:sz="0" w:space="0" w:color="auto"/>
          </w:divBdr>
        </w:div>
        <w:div w:id="375859471">
          <w:marLeft w:val="1166"/>
          <w:marRight w:val="0"/>
          <w:marTop w:val="0"/>
          <w:marBottom w:val="0"/>
          <w:divBdr>
            <w:top w:val="none" w:sz="0" w:space="0" w:color="auto"/>
            <w:left w:val="none" w:sz="0" w:space="0" w:color="auto"/>
            <w:bottom w:val="none" w:sz="0" w:space="0" w:color="auto"/>
            <w:right w:val="none" w:sz="0" w:space="0" w:color="auto"/>
          </w:divBdr>
        </w:div>
        <w:div w:id="1425422529">
          <w:marLeft w:val="1166"/>
          <w:marRight w:val="0"/>
          <w:marTop w:val="0"/>
          <w:marBottom w:val="0"/>
          <w:divBdr>
            <w:top w:val="none" w:sz="0" w:space="0" w:color="auto"/>
            <w:left w:val="none" w:sz="0" w:space="0" w:color="auto"/>
            <w:bottom w:val="none" w:sz="0" w:space="0" w:color="auto"/>
            <w:right w:val="none" w:sz="0" w:space="0" w:color="auto"/>
          </w:divBdr>
        </w:div>
        <w:div w:id="1710452430">
          <w:marLeft w:val="1166"/>
          <w:marRight w:val="0"/>
          <w:marTop w:val="0"/>
          <w:marBottom w:val="0"/>
          <w:divBdr>
            <w:top w:val="none" w:sz="0" w:space="0" w:color="auto"/>
            <w:left w:val="none" w:sz="0" w:space="0" w:color="auto"/>
            <w:bottom w:val="none" w:sz="0" w:space="0" w:color="auto"/>
            <w:right w:val="none" w:sz="0" w:space="0" w:color="auto"/>
          </w:divBdr>
        </w:div>
      </w:divsChild>
    </w:div>
    <w:div w:id="1927421432">
      <w:bodyDiv w:val="1"/>
      <w:marLeft w:val="0"/>
      <w:marRight w:val="0"/>
      <w:marTop w:val="0"/>
      <w:marBottom w:val="0"/>
      <w:divBdr>
        <w:top w:val="none" w:sz="0" w:space="0" w:color="auto"/>
        <w:left w:val="none" w:sz="0" w:space="0" w:color="auto"/>
        <w:bottom w:val="none" w:sz="0" w:space="0" w:color="auto"/>
        <w:right w:val="none" w:sz="0" w:space="0" w:color="auto"/>
      </w:divBdr>
      <w:divsChild>
        <w:div w:id="926117619">
          <w:marLeft w:val="288"/>
          <w:marRight w:val="0"/>
          <w:marTop w:val="0"/>
          <w:marBottom w:val="120"/>
          <w:divBdr>
            <w:top w:val="none" w:sz="0" w:space="0" w:color="auto"/>
            <w:left w:val="none" w:sz="0" w:space="0" w:color="auto"/>
            <w:bottom w:val="none" w:sz="0" w:space="0" w:color="auto"/>
            <w:right w:val="none" w:sz="0" w:space="0" w:color="auto"/>
          </w:divBdr>
        </w:div>
        <w:div w:id="355423917">
          <w:marLeft w:val="1987"/>
          <w:marRight w:val="0"/>
          <w:marTop w:val="0"/>
          <w:marBottom w:val="120"/>
          <w:divBdr>
            <w:top w:val="none" w:sz="0" w:space="0" w:color="auto"/>
            <w:left w:val="none" w:sz="0" w:space="0" w:color="auto"/>
            <w:bottom w:val="none" w:sz="0" w:space="0" w:color="auto"/>
            <w:right w:val="none" w:sz="0" w:space="0" w:color="auto"/>
          </w:divBdr>
        </w:div>
        <w:div w:id="1205142726">
          <w:marLeft w:val="288"/>
          <w:marRight w:val="0"/>
          <w:marTop w:val="0"/>
          <w:marBottom w:val="120"/>
          <w:divBdr>
            <w:top w:val="none" w:sz="0" w:space="0" w:color="auto"/>
            <w:left w:val="none" w:sz="0" w:space="0" w:color="auto"/>
            <w:bottom w:val="none" w:sz="0" w:space="0" w:color="auto"/>
            <w:right w:val="none" w:sz="0" w:space="0" w:color="auto"/>
          </w:divBdr>
        </w:div>
        <w:div w:id="706488257">
          <w:marLeft w:val="1987"/>
          <w:marRight w:val="0"/>
          <w:marTop w:val="0"/>
          <w:marBottom w:val="120"/>
          <w:divBdr>
            <w:top w:val="none" w:sz="0" w:space="0" w:color="auto"/>
            <w:left w:val="none" w:sz="0" w:space="0" w:color="auto"/>
            <w:bottom w:val="none" w:sz="0" w:space="0" w:color="auto"/>
            <w:right w:val="none" w:sz="0" w:space="0" w:color="auto"/>
          </w:divBdr>
        </w:div>
        <w:div w:id="492797737">
          <w:marLeft w:val="1987"/>
          <w:marRight w:val="0"/>
          <w:marTop w:val="0"/>
          <w:marBottom w:val="120"/>
          <w:divBdr>
            <w:top w:val="none" w:sz="0" w:space="0" w:color="auto"/>
            <w:left w:val="none" w:sz="0" w:space="0" w:color="auto"/>
            <w:bottom w:val="none" w:sz="0" w:space="0" w:color="auto"/>
            <w:right w:val="none" w:sz="0" w:space="0" w:color="auto"/>
          </w:divBdr>
        </w:div>
        <w:div w:id="49427427">
          <w:marLeft w:val="1987"/>
          <w:marRight w:val="0"/>
          <w:marTop w:val="0"/>
          <w:marBottom w:val="120"/>
          <w:divBdr>
            <w:top w:val="none" w:sz="0" w:space="0" w:color="auto"/>
            <w:left w:val="none" w:sz="0" w:space="0" w:color="auto"/>
            <w:bottom w:val="none" w:sz="0" w:space="0" w:color="auto"/>
            <w:right w:val="none" w:sz="0" w:space="0" w:color="auto"/>
          </w:divBdr>
        </w:div>
        <w:div w:id="596602240">
          <w:marLeft w:val="1987"/>
          <w:marRight w:val="0"/>
          <w:marTop w:val="0"/>
          <w:marBottom w:val="120"/>
          <w:divBdr>
            <w:top w:val="none" w:sz="0" w:space="0" w:color="auto"/>
            <w:left w:val="none" w:sz="0" w:space="0" w:color="auto"/>
            <w:bottom w:val="none" w:sz="0" w:space="0" w:color="auto"/>
            <w:right w:val="none" w:sz="0" w:space="0" w:color="auto"/>
          </w:divBdr>
        </w:div>
        <w:div w:id="1562709920">
          <w:marLeft w:val="288"/>
          <w:marRight w:val="0"/>
          <w:marTop w:val="0"/>
          <w:marBottom w:val="120"/>
          <w:divBdr>
            <w:top w:val="none" w:sz="0" w:space="0" w:color="auto"/>
            <w:left w:val="none" w:sz="0" w:space="0" w:color="auto"/>
            <w:bottom w:val="none" w:sz="0" w:space="0" w:color="auto"/>
            <w:right w:val="none" w:sz="0" w:space="0" w:color="auto"/>
          </w:divBdr>
        </w:div>
      </w:divsChild>
    </w:div>
    <w:div w:id="1931739162">
      <w:bodyDiv w:val="1"/>
      <w:marLeft w:val="0"/>
      <w:marRight w:val="0"/>
      <w:marTop w:val="0"/>
      <w:marBottom w:val="0"/>
      <w:divBdr>
        <w:top w:val="none" w:sz="0" w:space="0" w:color="auto"/>
        <w:left w:val="none" w:sz="0" w:space="0" w:color="auto"/>
        <w:bottom w:val="none" w:sz="0" w:space="0" w:color="auto"/>
        <w:right w:val="none" w:sz="0" w:space="0" w:color="auto"/>
      </w:divBdr>
    </w:div>
    <w:div w:id="1938169782">
      <w:bodyDiv w:val="1"/>
      <w:marLeft w:val="0"/>
      <w:marRight w:val="0"/>
      <w:marTop w:val="0"/>
      <w:marBottom w:val="0"/>
      <w:divBdr>
        <w:top w:val="none" w:sz="0" w:space="0" w:color="auto"/>
        <w:left w:val="none" w:sz="0" w:space="0" w:color="auto"/>
        <w:bottom w:val="none" w:sz="0" w:space="0" w:color="auto"/>
        <w:right w:val="none" w:sz="0" w:space="0" w:color="auto"/>
      </w:divBdr>
      <w:divsChild>
        <w:div w:id="1697274282">
          <w:marLeft w:val="547"/>
          <w:marRight w:val="0"/>
          <w:marTop w:val="0"/>
          <w:marBottom w:val="0"/>
          <w:divBdr>
            <w:top w:val="none" w:sz="0" w:space="0" w:color="auto"/>
            <w:left w:val="none" w:sz="0" w:space="0" w:color="auto"/>
            <w:bottom w:val="none" w:sz="0" w:space="0" w:color="auto"/>
            <w:right w:val="none" w:sz="0" w:space="0" w:color="auto"/>
          </w:divBdr>
        </w:div>
      </w:divsChild>
    </w:div>
    <w:div w:id="1967466735">
      <w:bodyDiv w:val="1"/>
      <w:marLeft w:val="0"/>
      <w:marRight w:val="0"/>
      <w:marTop w:val="0"/>
      <w:marBottom w:val="0"/>
      <w:divBdr>
        <w:top w:val="none" w:sz="0" w:space="0" w:color="auto"/>
        <w:left w:val="none" w:sz="0" w:space="0" w:color="auto"/>
        <w:bottom w:val="none" w:sz="0" w:space="0" w:color="auto"/>
        <w:right w:val="none" w:sz="0" w:space="0" w:color="auto"/>
      </w:divBdr>
    </w:div>
    <w:div w:id="1969702183">
      <w:bodyDiv w:val="1"/>
      <w:marLeft w:val="0"/>
      <w:marRight w:val="0"/>
      <w:marTop w:val="0"/>
      <w:marBottom w:val="0"/>
      <w:divBdr>
        <w:top w:val="none" w:sz="0" w:space="0" w:color="auto"/>
        <w:left w:val="none" w:sz="0" w:space="0" w:color="auto"/>
        <w:bottom w:val="none" w:sz="0" w:space="0" w:color="auto"/>
        <w:right w:val="none" w:sz="0" w:space="0" w:color="auto"/>
      </w:divBdr>
      <w:divsChild>
        <w:div w:id="894898500">
          <w:marLeft w:val="547"/>
          <w:marRight w:val="0"/>
          <w:marTop w:val="0"/>
          <w:marBottom w:val="120"/>
          <w:divBdr>
            <w:top w:val="none" w:sz="0" w:space="0" w:color="auto"/>
            <w:left w:val="none" w:sz="0" w:space="0" w:color="auto"/>
            <w:bottom w:val="none" w:sz="0" w:space="0" w:color="auto"/>
            <w:right w:val="none" w:sz="0" w:space="0" w:color="auto"/>
          </w:divBdr>
        </w:div>
        <w:div w:id="1174536812">
          <w:marLeft w:val="547"/>
          <w:marRight w:val="0"/>
          <w:marTop w:val="0"/>
          <w:marBottom w:val="120"/>
          <w:divBdr>
            <w:top w:val="none" w:sz="0" w:space="0" w:color="auto"/>
            <w:left w:val="none" w:sz="0" w:space="0" w:color="auto"/>
            <w:bottom w:val="none" w:sz="0" w:space="0" w:color="auto"/>
            <w:right w:val="none" w:sz="0" w:space="0" w:color="auto"/>
          </w:divBdr>
        </w:div>
        <w:div w:id="349525575">
          <w:marLeft w:val="547"/>
          <w:marRight w:val="0"/>
          <w:marTop w:val="0"/>
          <w:marBottom w:val="120"/>
          <w:divBdr>
            <w:top w:val="none" w:sz="0" w:space="0" w:color="auto"/>
            <w:left w:val="none" w:sz="0" w:space="0" w:color="auto"/>
            <w:bottom w:val="none" w:sz="0" w:space="0" w:color="auto"/>
            <w:right w:val="none" w:sz="0" w:space="0" w:color="auto"/>
          </w:divBdr>
        </w:div>
      </w:divsChild>
    </w:div>
    <w:div w:id="1970279703">
      <w:bodyDiv w:val="1"/>
      <w:marLeft w:val="0"/>
      <w:marRight w:val="0"/>
      <w:marTop w:val="0"/>
      <w:marBottom w:val="0"/>
      <w:divBdr>
        <w:top w:val="none" w:sz="0" w:space="0" w:color="auto"/>
        <w:left w:val="none" w:sz="0" w:space="0" w:color="auto"/>
        <w:bottom w:val="none" w:sz="0" w:space="0" w:color="auto"/>
        <w:right w:val="none" w:sz="0" w:space="0" w:color="auto"/>
      </w:divBdr>
      <w:divsChild>
        <w:div w:id="159928605">
          <w:marLeft w:val="288"/>
          <w:marRight w:val="0"/>
          <w:marTop w:val="0"/>
          <w:marBottom w:val="120"/>
          <w:divBdr>
            <w:top w:val="none" w:sz="0" w:space="0" w:color="auto"/>
            <w:left w:val="none" w:sz="0" w:space="0" w:color="auto"/>
            <w:bottom w:val="none" w:sz="0" w:space="0" w:color="auto"/>
            <w:right w:val="none" w:sz="0" w:space="0" w:color="auto"/>
          </w:divBdr>
        </w:div>
      </w:divsChild>
    </w:div>
    <w:div w:id="1970740161">
      <w:bodyDiv w:val="1"/>
      <w:marLeft w:val="0"/>
      <w:marRight w:val="0"/>
      <w:marTop w:val="0"/>
      <w:marBottom w:val="0"/>
      <w:divBdr>
        <w:top w:val="none" w:sz="0" w:space="0" w:color="auto"/>
        <w:left w:val="none" w:sz="0" w:space="0" w:color="auto"/>
        <w:bottom w:val="none" w:sz="0" w:space="0" w:color="auto"/>
        <w:right w:val="none" w:sz="0" w:space="0" w:color="auto"/>
      </w:divBdr>
    </w:div>
    <w:div w:id="1972203022">
      <w:bodyDiv w:val="1"/>
      <w:marLeft w:val="0"/>
      <w:marRight w:val="0"/>
      <w:marTop w:val="0"/>
      <w:marBottom w:val="0"/>
      <w:divBdr>
        <w:top w:val="none" w:sz="0" w:space="0" w:color="auto"/>
        <w:left w:val="none" w:sz="0" w:space="0" w:color="auto"/>
        <w:bottom w:val="none" w:sz="0" w:space="0" w:color="auto"/>
        <w:right w:val="none" w:sz="0" w:space="0" w:color="auto"/>
      </w:divBdr>
    </w:div>
    <w:div w:id="1972586676">
      <w:bodyDiv w:val="1"/>
      <w:marLeft w:val="0"/>
      <w:marRight w:val="0"/>
      <w:marTop w:val="0"/>
      <w:marBottom w:val="0"/>
      <w:divBdr>
        <w:top w:val="none" w:sz="0" w:space="0" w:color="auto"/>
        <w:left w:val="none" w:sz="0" w:space="0" w:color="auto"/>
        <w:bottom w:val="none" w:sz="0" w:space="0" w:color="auto"/>
        <w:right w:val="none" w:sz="0" w:space="0" w:color="auto"/>
      </w:divBdr>
    </w:div>
    <w:div w:id="1974677768">
      <w:bodyDiv w:val="1"/>
      <w:marLeft w:val="0"/>
      <w:marRight w:val="0"/>
      <w:marTop w:val="0"/>
      <w:marBottom w:val="0"/>
      <w:divBdr>
        <w:top w:val="none" w:sz="0" w:space="0" w:color="auto"/>
        <w:left w:val="none" w:sz="0" w:space="0" w:color="auto"/>
        <w:bottom w:val="none" w:sz="0" w:space="0" w:color="auto"/>
        <w:right w:val="none" w:sz="0" w:space="0" w:color="auto"/>
      </w:divBdr>
    </w:div>
    <w:div w:id="1976836101">
      <w:bodyDiv w:val="1"/>
      <w:marLeft w:val="0"/>
      <w:marRight w:val="0"/>
      <w:marTop w:val="0"/>
      <w:marBottom w:val="0"/>
      <w:divBdr>
        <w:top w:val="none" w:sz="0" w:space="0" w:color="auto"/>
        <w:left w:val="none" w:sz="0" w:space="0" w:color="auto"/>
        <w:bottom w:val="none" w:sz="0" w:space="0" w:color="auto"/>
        <w:right w:val="none" w:sz="0" w:space="0" w:color="auto"/>
      </w:divBdr>
      <w:divsChild>
        <w:div w:id="2091852262">
          <w:marLeft w:val="0"/>
          <w:marRight w:val="0"/>
          <w:marTop w:val="0"/>
          <w:marBottom w:val="120"/>
          <w:divBdr>
            <w:top w:val="none" w:sz="0" w:space="0" w:color="auto"/>
            <w:left w:val="none" w:sz="0" w:space="0" w:color="auto"/>
            <w:bottom w:val="none" w:sz="0" w:space="0" w:color="auto"/>
            <w:right w:val="none" w:sz="0" w:space="0" w:color="auto"/>
          </w:divBdr>
        </w:div>
      </w:divsChild>
    </w:div>
    <w:div w:id="1978029456">
      <w:bodyDiv w:val="1"/>
      <w:marLeft w:val="0"/>
      <w:marRight w:val="0"/>
      <w:marTop w:val="0"/>
      <w:marBottom w:val="0"/>
      <w:divBdr>
        <w:top w:val="none" w:sz="0" w:space="0" w:color="auto"/>
        <w:left w:val="none" w:sz="0" w:space="0" w:color="auto"/>
        <w:bottom w:val="none" w:sz="0" w:space="0" w:color="auto"/>
        <w:right w:val="none" w:sz="0" w:space="0" w:color="auto"/>
      </w:divBdr>
    </w:div>
    <w:div w:id="1983342609">
      <w:bodyDiv w:val="1"/>
      <w:marLeft w:val="0"/>
      <w:marRight w:val="0"/>
      <w:marTop w:val="0"/>
      <w:marBottom w:val="0"/>
      <w:divBdr>
        <w:top w:val="none" w:sz="0" w:space="0" w:color="auto"/>
        <w:left w:val="none" w:sz="0" w:space="0" w:color="auto"/>
        <w:bottom w:val="none" w:sz="0" w:space="0" w:color="auto"/>
        <w:right w:val="none" w:sz="0" w:space="0" w:color="auto"/>
      </w:divBdr>
      <w:divsChild>
        <w:div w:id="1833253761">
          <w:marLeft w:val="446"/>
          <w:marRight w:val="0"/>
          <w:marTop w:val="0"/>
          <w:marBottom w:val="0"/>
          <w:divBdr>
            <w:top w:val="none" w:sz="0" w:space="0" w:color="auto"/>
            <w:left w:val="none" w:sz="0" w:space="0" w:color="auto"/>
            <w:bottom w:val="none" w:sz="0" w:space="0" w:color="auto"/>
            <w:right w:val="none" w:sz="0" w:space="0" w:color="auto"/>
          </w:divBdr>
        </w:div>
        <w:div w:id="631256331">
          <w:marLeft w:val="446"/>
          <w:marRight w:val="0"/>
          <w:marTop w:val="0"/>
          <w:marBottom w:val="0"/>
          <w:divBdr>
            <w:top w:val="none" w:sz="0" w:space="0" w:color="auto"/>
            <w:left w:val="none" w:sz="0" w:space="0" w:color="auto"/>
            <w:bottom w:val="none" w:sz="0" w:space="0" w:color="auto"/>
            <w:right w:val="none" w:sz="0" w:space="0" w:color="auto"/>
          </w:divBdr>
        </w:div>
      </w:divsChild>
    </w:div>
    <w:div w:id="1990205802">
      <w:bodyDiv w:val="1"/>
      <w:marLeft w:val="0"/>
      <w:marRight w:val="0"/>
      <w:marTop w:val="0"/>
      <w:marBottom w:val="0"/>
      <w:divBdr>
        <w:top w:val="none" w:sz="0" w:space="0" w:color="auto"/>
        <w:left w:val="none" w:sz="0" w:space="0" w:color="auto"/>
        <w:bottom w:val="none" w:sz="0" w:space="0" w:color="auto"/>
        <w:right w:val="none" w:sz="0" w:space="0" w:color="auto"/>
      </w:divBdr>
    </w:div>
    <w:div w:id="2012223161">
      <w:bodyDiv w:val="1"/>
      <w:marLeft w:val="0"/>
      <w:marRight w:val="0"/>
      <w:marTop w:val="0"/>
      <w:marBottom w:val="0"/>
      <w:divBdr>
        <w:top w:val="none" w:sz="0" w:space="0" w:color="auto"/>
        <w:left w:val="none" w:sz="0" w:space="0" w:color="auto"/>
        <w:bottom w:val="none" w:sz="0" w:space="0" w:color="auto"/>
        <w:right w:val="none" w:sz="0" w:space="0" w:color="auto"/>
      </w:divBdr>
      <w:divsChild>
        <w:div w:id="1862474377">
          <w:marLeft w:val="547"/>
          <w:marRight w:val="0"/>
          <w:marTop w:val="0"/>
          <w:marBottom w:val="120"/>
          <w:divBdr>
            <w:top w:val="none" w:sz="0" w:space="0" w:color="auto"/>
            <w:left w:val="none" w:sz="0" w:space="0" w:color="auto"/>
            <w:bottom w:val="none" w:sz="0" w:space="0" w:color="auto"/>
            <w:right w:val="none" w:sz="0" w:space="0" w:color="auto"/>
          </w:divBdr>
        </w:div>
        <w:div w:id="1405949038">
          <w:marLeft w:val="547"/>
          <w:marRight w:val="0"/>
          <w:marTop w:val="0"/>
          <w:marBottom w:val="120"/>
          <w:divBdr>
            <w:top w:val="none" w:sz="0" w:space="0" w:color="auto"/>
            <w:left w:val="none" w:sz="0" w:space="0" w:color="auto"/>
            <w:bottom w:val="none" w:sz="0" w:space="0" w:color="auto"/>
            <w:right w:val="none" w:sz="0" w:space="0" w:color="auto"/>
          </w:divBdr>
        </w:div>
        <w:div w:id="2098286132">
          <w:marLeft w:val="1166"/>
          <w:marRight w:val="0"/>
          <w:marTop w:val="0"/>
          <w:marBottom w:val="120"/>
          <w:divBdr>
            <w:top w:val="none" w:sz="0" w:space="0" w:color="auto"/>
            <w:left w:val="none" w:sz="0" w:space="0" w:color="auto"/>
            <w:bottom w:val="none" w:sz="0" w:space="0" w:color="auto"/>
            <w:right w:val="none" w:sz="0" w:space="0" w:color="auto"/>
          </w:divBdr>
        </w:div>
        <w:div w:id="1770152837">
          <w:marLeft w:val="1166"/>
          <w:marRight w:val="0"/>
          <w:marTop w:val="0"/>
          <w:marBottom w:val="120"/>
          <w:divBdr>
            <w:top w:val="none" w:sz="0" w:space="0" w:color="auto"/>
            <w:left w:val="none" w:sz="0" w:space="0" w:color="auto"/>
            <w:bottom w:val="none" w:sz="0" w:space="0" w:color="auto"/>
            <w:right w:val="none" w:sz="0" w:space="0" w:color="auto"/>
          </w:divBdr>
        </w:div>
        <w:div w:id="579798799">
          <w:marLeft w:val="1166"/>
          <w:marRight w:val="0"/>
          <w:marTop w:val="0"/>
          <w:marBottom w:val="120"/>
          <w:divBdr>
            <w:top w:val="none" w:sz="0" w:space="0" w:color="auto"/>
            <w:left w:val="none" w:sz="0" w:space="0" w:color="auto"/>
            <w:bottom w:val="none" w:sz="0" w:space="0" w:color="auto"/>
            <w:right w:val="none" w:sz="0" w:space="0" w:color="auto"/>
          </w:divBdr>
        </w:div>
        <w:div w:id="1686780999">
          <w:marLeft w:val="547"/>
          <w:marRight w:val="0"/>
          <w:marTop w:val="0"/>
          <w:marBottom w:val="0"/>
          <w:divBdr>
            <w:top w:val="none" w:sz="0" w:space="0" w:color="auto"/>
            <w:left w:val="none" w:sz="0" w:space="0" w:color="auto"/>
            <w:bottom w:val="none" w:sz="0" w:space="0" w:color="auto"/>
            <w:right w:val="none" w:sz="0" w:space="0" w:color="auto"/>
          </w:divBdr>
        </w:div>
      </w:divsChild>
    </w:div>
    <w:div w:id="2019429108">
      <w:bodyDiv w:val="1"/>
      <w:marLeft w:val="0"/>
      <w:marRight w:val="0"/>
      <w:marTop w:val="0"/>
      <w:marBottom w:val="0"/>
      <w:divBdr>
        <w:top w:val="none" w:sz="0" w:space="0" w:color="auto"/>
        <w:left w:val="none" w:sz="0" w:space="0" w:color="auto"/>
        <w:bottom w:val="none" w:sz="0" w:space="0" w:color="auto"/>
        <w:right w:val="none" w:sz="0" w:space="0" w:color="auto"/>
      </w:divBdr>
    </w:div>
    <w:div w:id="2019849575">
      <w:bodyDiv w:val="1"/>
      <w:marLeft w:val="0"/>
      <w:marRight w:val="0"/>
      <w:marTop w:val="0"/>
      <w:marBottom w:val="0"/>
      <w:divBdr>
        <w:top w:val="none" w:sz="0" w:space="0" w:color="auto"/>
        <w:left w:val="none" w:sz="0" w:space="0" w:color="auto"/>
        <w:bottom w:val="none" w:sz="0" w:space="0" w:color="auto"/>
        <w:right w:val="none" w:sz="0" w:space="0" w:color="auto"/>
      </w:divBdr>
      <w:divsChild>
        <w:div w:id="1746953657">
          <w:marLeft w:val="547"/>
          <w:marRight w:val="0"/>
          <w:marTop w:val="0"/>
          <w:marBottom w:val="240"/>
          <w:divBdr>
            <w:top w:val="none" w:sz="0" w:space="0" w:color="auto"/>
            <w:left w:val="none" w:sz="0" w:space="0" w:color="auto"/>
            <w:bottom w:val="none" w:sz="0" w:space="0" w:color="auto"/>
            <w:right w:val="none" w:sz="0" w:space="0" w:color="auto"/>
          </w:divBdr>
        </w:div>
        <w:div w:id="2025856360">
          <w:marLeft w:val="547"/>
          <w:marRight w:val="0"/>
          <w:marTop w:val="0"/>
          <w:marBottom w:val="240"/>
          <w:divBdr>
            <w:top w:val="none" w:sz="0" w:space="0" w:color="auto"/>
            <w:left w:val="none" w:sz="0" w:space="0" w:color="auto"/>
            <w:bottom w:val="none" w:sz="0" w:space="0" w:color="auto"/>
            <w:right w:val="none" w:sz="0" w:space="0" w:color="auto"/>
          </w:divBdr>
        </w:div>
        <w:div w:id="1979190746">
          <w:marLeft w:val="547"/>
          <w:marRight w:val="0"/>
          <w:marTop w:val="0"/>
          <w:marBottom w:val="240"/>
          <w:divBdr>
            <w:top w:val="none" w:sz="0" w:space="0" w:color="auto"/>
            <w:left w:val="none" w:sz="0" w:space="0" w:color="auto"/>
            <w:bottom w:val="none" w:sz="0" w:space="0" w:color="auto"/>
            <w:right w:val="none" w:sz="0" w:space="0" w:color="auto"/>
          </w:divBdr>
        </w:div>
      </w:divsChild>
    </w:div>
    <w:div w:id="2039430625">
      <w:bodyDiv w:val="1"/>
      <w:marLeft w:val="0"/>
      <w:marRight w:val="0"/>
      <w:marTop w:val="0"/>
      <w:marBottom w:val="0"/>
      <w:divBdr>
        <w:top w:val="none" w:sz="0" w:space="0" w:color="auto"/>
        <w:left w:val="none" w:sz="0" w:space="0" w:color="auto"/>
        <w:bottom w:val="none" w:sz="0" w:space="0" w:color="auto"/>
        <w:right w:val="none" w:sz="0" w:space="0" w:color="auto"/>
      </w:divBdr>
    </w:div>
    <w:div w:id="2039431722">
      <w:bodyDiv w:val="1"/>
      <w:marLeft w:val="0"/>
      <w:marRight w:val="0"/>
      <w:marTop w:val="0"/>
      <w:marBottom w:val="0"/>
      <w:divBdr>
        <w:top w:val="none" w:sz="0" w:space="0" w:color="auto"/>
        <w:left w:val="none" w:sz="0" w:space="0" w:color="auto"/>
        <w:bottom w:val="none" w:sz="0" w:space="0" w:color="auto"/>
        <w:right w:val="none" w:sz="0" w:space="0" w:color="auto"/>
      </w:divBdr>
    </w:div>
    <w:div w:id="2042705384">
      <w:bodyDiv w:val="1"/>
      <w:marLeft w:val="0"/>
      <w:marRight w:val="0"/>
      <w:marTop w:val="0"/>
      <w:marBottom w:val="0"/>
      <w:divBdr>
        <w:top w:val="none" w:sz="0" w:space="0" w:color="auto"/>
        <w:left w:val="none" w:sz="0" w:space="0" w:color="auto"/>
        <w:bottom w:val="none" w:sz="0" w:space="0" w:color="auto"/>
        <w:right w:val="none" w:sz="0" w:space="0" w:color="auto"/>
      </w:divBdr>
    </w:div>
    <w:div w:id="2043943510">
      <w:bodyDiv w:val="1"/>
      <w:marLeft w:val="0"/>
      <w:marRight w:val="0"/>
      <w:marTop w:val="0"/>
      <w:marBottom w:val="0"/>
      <w:divBdr>
        <w:top w:val="none" w:sz="0" w:space="0" w:color="auto"/>
        <w:left w:val="none" w:sz="0" w:space="0" w:color="auto"/>
        <w:bottom w:val="none" w:sz="0" w:space="0" w:color="auto"/>
        <w:right w:val="none" w:sz="0" w:space="0" w:color="auto"/>
      </w:divBdr>
    </w:div>
    <w:div w:id="2044867492">
      <w:bodyDiv w:val="1"/>
      <w:marLeft w:val="0"/>
      <w:marRight w:val="0"/>
      <w:marTop w:val="0"/>
      <w:marBottom w:val="0"/>
      <w:divBdr>
        <w:top w:val="none" w:sz="0" w:space="0" w:color="auto"/>
        <w:left w:val="none" w:sz="0" w:space="0" w:color="auto"/>
        <w:bottom w:val="none" w:sz="0" w:space="0" w:color="auto"/>
        <w:right w:val="none" w:sz="0" w:space="0" w:color="auto"/>
      </w:divBdr>
    </w:div>
    <w:div w:id="2045205303">
      <w:bodyDiv w:val="1"/>
      <w:marLeft w:val="0"/>
      <w:marRight w:val="0"/>
      <w:marTop w:val="0"/>
      <w:marBottom w:val="0"/>
      <w:divBdr>
        <w:top w:val="none" w:sz="0" w:space="0" w:color="auto"/>
        <w:left w:val="none" w:sz="0" w:space="0" w:color="auto"/>
        <w:bottom w:val="none" w:sz="0" w:space="0" w:color="auto"/>
        <w:right w:val="none" w:sz="0" w:space="0" w:color="auto"/>
      </w:divBdr>
    </w:div>
    <w:div w:id="2050493766">
      <w:bodyDiv w:val="1"/>
      <w:marLeft w:val="0"/>
      <w:marRight w:val="0"/>
      <w:marTop w:val="0"/>
      <w:marBottom w:val="0"/>
      <w:divBdr>
        <w:top w:val="none" w:sz="0" w:space="0" w:color="auto"/>
        <w:left w:val="none" w:sz="0" w:space="0" w:color="auto"/>
        <w:bottom w:val="none" w:sz="0" w:space="0" w:color="auto"/>
        <w:right w:val="none" w:sz="0" w:space="0" w:color="auto"/>
      </w:divBdr>
    </w:div>
    <w:div w:id="2057117124">
      <w:bodyDiv w:val="1"/>
      <w:marLeft w:val="0"/>
      <w:marRight w:val="0"/>
      <w:marTop w:val="0"/>
      <w:marBottom w:val="0"/>
      <w:divBdr>
        <w:top w:val="none" w:sz="0" w:space="0" w:color="auto"/>
        <w:left w:val="none" w:sz="0" w:space="0" w:color="auto"/>
        <w:bottom w:val="none" w:sz="0" w:space="0" w:color="auto"/>
        <w:right w:val="none" w:sz="0" w:space="0" w:color="auto"/>
      </w:divBdr>
    </w:div>
    <w:div w:id="2058815270">
      <w:bodyDiv w:val="1"/>
      <w:marLeft w:val="0"/>
      <w:marRight w:val="0"/>
      <w:marTop w:val="0"/>
      <w:marBottom w:val="0"/>
      <w:divBdr>
        <w:top w:val="none" w:sz="0" w:space="0" w:color="auto"/>
        <w:left w:val="none" w:sz="0" w:space="0" w:color="auto"/>
        <w:bottom w:val="none" w:sz="0" w:space="0" w:color="auto"/>
        <w:right w:val="none" w:sz="0" w:space="0" w:color="auto"/>
      </w:divBdr>
    </w:div>
    <w:div w:id="2069105869">
      <w:bodyDiv w:val="1"/>
      <w:marLeft w:val="0"/>
      <w:marRight w:val="0"/>
      <w:marTop w:val="0"/>
      <w:marBottom w:val="0"/>
      <w:divBdr>
        <w:top w:val="none" w:sz="0" w:space="0" w:color="auto"/>
        <w:left w:val="none" w:sz="0" w:space="0" w:color="auto"/>
        <w:bottom w:val="none" w:sz="0" w:space="0" w:color="auto"/>
        <w:right w:val="none" w:sz="0" w:space="0" w:color="auto"/>
      </w:divBdr>
      <w:divsChild>
        <w:div w:id="1944141819">
          <w:marLeft w:val="547"/>
          <w:marRight w:val="0"/>
          <w:marTop w:val="0"/>
          <w:marBottom w:val="120"/>
          <w:divBdr>
            <w:top w:val="none" w:sz="0" w:space="0" w:color="auto"/>
            <w:left w:val="none" w:sz="0" w:space="0" w:color="auto"/>
            <w:bottom w:val="none" w:sz="0" w:space="0" w:color="auto"/>
            <w:right w:val="none" w:sz="0" w:space="0" w:color="auto"/>
          </w:divBdr>
        </w:div>
        <w:div w:id="1855224697">
          <w:marLeft w:val="547"/>
          <w:marRight w:val="0"/>
          <w:marTop w:val="0"/>
          <w:marBottom w:val="120"/>
          <w:divBdr>
            <w:top w:val="none" w:sz="0" w:space="0" w:color="auto"/>
            <w:left w:val="none" w:sz="0" w:space="0" w:color="auto"/>
            <w:bottom w:val="none" w:sz="0" w:space="0" w:color="auto"/>
            <w:right w:val="none" w:sz="0" w:space="0" w:color="auto"/>
          </w:divBdr>
        </w:div>
        <w:div w:id="1111320131">
          <w:marLeft w:val="547"/>
          <w:marRight w:val="0"/>
          <w:marTop w:val="0"/>
          <w:marBottom w:val="120"/>
          <w:divBdr>
            <w:top w:val="none" w:sz="0" w:space="0" w:color="auto"/>
            <w:left w:val="none" w:sz="0" w:space="0" w:color="auto"/>
            <w:bottom w:val="none" w:sz="0" w:space="0" w:color="auto"/>
            <w:right w:val="none" w:sz="0" w:space="0" w:color="auto"/>
          </w:divBdr>
        </w:div>
        <w:div w:id="158932619">
          <w:marLeft w:val="547"/>
          <w:marRight w:val="0"/>
          <w:marTop w:val="0"/>
          <w:marBottom w:val="120"/>
          <w:divBdr>
            <w:top w:val="none" w:sz="0" w:space="0" w:color="auto"/>
            <w:left w:val="none" w:sz="0" w:space="0" w:color="auto"/>
            <w:bottom w:val="none" w:sz="0" w:space="0" w:color="auto"/>
            <w:right w:val="none" w:sz="0" w:space="0" w:color="auto"/>
          </w:divBdr>
        </w:div>
        <w:div w:id="12541981">
          <w:marLeft w:val="547"/>
          <w:marRight w:val="0"/>
          <w:marTop w:val="0"/>
          <w:marBottom w:val="120"/>
          <w:divBdr>
            <w:top w:val="none" w:sz="0" w:space="0" w:color="auto"/>
            <w:left w:val="none" w:sz="0" w:space="0" w:color="auto"/>
            <w:bottom w:val="none" w:sz="0" w:space="0" w:color="auto"/>
            <w:right w:val="none" w:sz="0" w:space="0" w:color="auto"/>
          </w:divBdr>
        </w:div>
        <w:div w:id="425268742">
          <w:marLeft w:val="547"/>
          <w:marRight w:val="0"/>
          <w:marTop w:val="0"/>
          <w:marBottom w:val="120"/>
          <w:divBdr>
            <w:top w:val="none" w:sz="0" w:space="0" w:color="auto"/>
            <w:left w:val="none" w:sz="0" w:space="0" w:color="auto"/>
            <w:bottom w:val="none" w:sz="0" w:space="0" w:color="auto"/>
            <w:right w:val="none" w:sz="0" w:space="0" w:color="auto"/>
          </w:divBdr>
        </w:div>
      </w:divsChild>
    </w:div>
    <w:div w:id="2085683282">
      <w:bodyDiv w:val="1"/>
      <w:marLeft w:val="0"/>
      <w:marRight w:val="0"/>
      <w:marTop w:val="0"/>
      <w:marBottom w:val="0"/>
      <w:divBdr>
        <w:top w:val="none" w:sz="0" w:space="0" w:color="auto"/>
        <w:left w:val="none" w:sz="0" w:space="0" w:color="auto"/>
        <w:bottom w:val="none" w:sz="0" w:space="0" w:color="auto"/>
        <w:right w:val="none" w:sz="0" w:space="0" w:color="auto"/>
      </w:divBdr>
      <w:divsChild>
        <w:div w:id="212427523">
          <w:marLeft w:val="562"/>
          <w:marRight w:val="0"/>
          <w:marTop w:val="0"/>
          <w:marBottom w:val="120"/>
          <w:divBdr>
            <w:top w:val="none" w:sz="0" w:space="0" w:color="auto"/>
            <w:left w:val="none" w:sz="0" w:space="0" w:color="auto"/>
            <w:bottom w:val="none" w:sz="0" w:space="0" w:color="auto"/>
            <w:right w:val="none" w:sz="0" w:space="0" w:color="auto"/>
          </w:divBdr>
        </w:div>
        <w:div w:id="234432715">
          <w:marLeft w:val="562"/>
          <w:marRight w:val="0"/>
          <w:marTop w:val="0"/>
          <w:marBottom w:val="120"/>
          <w:divBdr>
            <w:top w:val="none" w:sz="0" w:space="0" w:color="auto"/>
            <w:left w:val="none" w:sz="0" w:space="0" w:color="auto"/>
            <w:bottom w:val="none" w:sz="0" w:space="0" w:color="auto"/>
            <w:right w:val="none" w:sz="0" w:space="0" w:color="auto"/>
          </w:divBdr>
        </w:div>
        <w:div w:id="47462959">
          <w:marLeft w:val="562"/>
          <w:marRight w:val="0"/>
          <w:marTop w:val="0"/>
          <w:marBottom w:val="120"/>
          <w:divBdr>
            <w:top w:val="none" w:sz="0" w:space="0" w:color="auto"/>
            <w:left w:val="none" w:sz="0" w:space="0" w:color="auto"/>
            <w:bottom w:val="none" w:sz="0" w:space="0" w:color="auto"/>
            <w:right w:val="none" w:sz="0" w:space="0" w:color="auto"/>
          </w:divBdr>
        </w:div>
        <w:div w:id="838541221">
          <w:marLeft w:val="562"/>
          <w:marRight w:val="0"/>
          <w:marTop w:val="0"/>
          <w:marBottom w:val="120"/>
          <w:divBdr>
            <w:top w:val="none" w:sz="0" w:space="0" w:color="auto"/>
            <w:left w:val="none" w:sz="0" w:space="0" w:color="auto"/>
            <w:bottom w:val="none" w:sz="0" w:space="0" w:color="auto"/>
            <w:right w:val="none" w:sz="0" w:space="0" w:color="auto"/>
          </w:divBdr>
        </w:div>
      </w:divsChild>
    </w:div>
    <w:div w:id="2103186491">
      <w:bodyDiv w:val="1"/>
      <w:marLeft w:val="0"/>
      <w:marRight w:val="0"/>
      <w:marTop w:val="0"/>
      <w:marBottom w:val="0"/>
      <w:divBdr>
        <w:top w:val="none" w:sz="0" w:space="0" w:color="auto"/>
        <w:left w:val="none" w:sz="0" w:space="0" w:color="auto"/>
        <w:bottom w:val="none" w:sz="0" w:space="0" w:color="auto"/>
        <w:right w:val="none" w:sz="0" w:space="0" w:color="auto"/>
      </w:divBdr>
    </w:div>
    <w:div w:id="2121030788">
      <w:bodyDiv w:val="1"/>
      <w:marLeft w:val="0"/>
      <w:marRight w:val="0"/>
      <w:marTop w:val="0"/>
      <w:marBottom w:val="0"/>
      <w:divBdr>
        <w:top w:val="none" w:sz="0" w:space="0" w:color="auto"/>
        <w:left w:val="none" w:sz="0" w:space="0" w:color="auto"/>
        <w:bottom w:val="none" w:sz="0" w:space="0" w:color="auto"/>
        <w:right w:val="none" w:sz="0" w:space="0" w:color="auto"/>
      </w:divBdr>
      <w:divsChild>
        <w:div w:id="494763386">
          <w:marLeft w:val="446"/>
          <w:marRight w:val="0"/>
          <w:marTop w:val="0"/>
          <w:marBottom w:val="0"/>
          <w:divBdr>
            <w:top w:val="none" w:sz="0" w:space="0" w:color="auto"/>
            <w:left w:val="none" w:sz="0" w:space="0" w:color="auto"/>
            <w:bottom w:val="none" w:sz="0" w:space="0" w:color="auto"/>
            <w:right w:val="none" w:sz="0" w:space="0" w:color="auto"/>
          </w:divBdr>
        </w:div>
        <w:div w:id="1573155952">
          <w:marLeft w:val="1166"/>
          <w:marRight w:val="0"/>
          <w:marTop w:val="0"/>
          <w:marBottom w:val="0"/>
          <w:divBdr>
            <w:top w:val="none" w:sz="0" w:space="0" w:color="auto"/>
            <w:left w:val="none" w:sz="0" w:space="0" w:color="auto"/>
            <w:bottom w:val="none" w:sz="0" w:space="0" w:color="auto"/>
            <w:right w:val="none" w:sz="0" w:space="0" w:color="auto"/>
          </w:divBdr>
        </w:div>
        <w:div w:id="238253272">
          <w:marLeft w:val="1886"/>
          <w:marRight w:val="0"/>
          <w:marTop w:val="0"/>
          <w:marBottom w:val="0"/>
          <w:divBdr>
            <w:top w:val="none" w:sz="0" w:space="0" w:color="auto"/>
            <w:left w:val="none" w:sz="0" w:space="0" w:color="auto"/>
            <w:bottom w:val="none" w:sz="0" w:space="0" w:color="auto"/>
            <w:right w:val="none" w:sz="0" w:space="0" w:color="auto"/>
          </w:divBdr>
        </w:div>
        <w:div w:id="839853067">
          <w:marLeft w:val="1886"/>
          <w:marRight w:val="0"/>
          <w:marTop w:val="0"/>
          <w:marBottom w:val="0"/>
          <w:divBdr>
            <w:top w:val="none" w:sz="0" w:space="0" w:color="auto"/>
            <w:left w:val="none" w:sz="0" w:space="0" w:color="auto"/>
            <w:bottom w:val="none" w:sz="0" w:space="0" w:color="auto"/>
            <w:right w:val="none" w:sz="0" w:space="0" w:color="auto"/>
          </w:divBdr>
        </w:div>
        <w:div w:id="1128166957">
          <w:marLeft w:val="1886"/>
          <w:marRight w:val="0"/>
          <w:marTop w:val="0"/>
          <w:marBottom w:val="0"/>
          <w:divBdr>
            <w:top w:val="none" w:sz="0" w:space="0" w:color="auto"/>
            <w:left w:val="none" w:sz="0" w:space="0" w:color="auto"/>
            <w:bottom w:val="none" w:sz="0" w:space="0" w:color="auto"/>
            <w:right w:val="none" w:sz="0" w:space="0" w:color="auto"/>
          </w:divBdr>
        </w:div>
        <w:div w:id="1079327682">
          <w:marLeft w:val="1886"/>
          <w:marRight w:val="0"/>
          <w:marTop w:val="0"/>
          <w:marBottom w:val="0"/>
          <w:divBdr>
            <w:top w:val="none" w:sz="0" w:space="0" w:color="auto"/>
            <w:left w:val="none" w:sz="0" w:space="0" w:color="auto"/>
            <w:bottom w:val="none" w:sz="0" w:space="0" w:color="auto"/>
            <w:right w:val="none" w:sz="0" w:space="0" w:color="auto"/>
          </w:divBdr>
        </w:div>
        <w:div w:id="172691834">
          <w:marLeft w:val="1886"/>
          <w:marRight w:val="0"/>
          <w:marTop w:val="0"/>
          <w:marBottom w:val="0"/>
          <w:divBdr>
            <w:top w:val="none" w:sz="0" w:space="0" w:color="auto"/>
            <w:left w:val="none" w:sz="0" w:space="0" w:color="auto"/>
            <w:bottom w:val="none" w:sz="0" w:space="0" w:color="auto"/>
            <w:right w:val="none" w:sz="0" w:space="0" w:color="auto"/>
          </w:divBdr>
        </w:div>
        <w:div w:id="1869373928">
          <w:marLeft w:val="1886"/>
          <w:marRight w:val="0"/>
          <w:marTop w:val="0"/>
          <w:marBottom w:val="0"/>
          <w:divBdr>
            <w:top w:val="none" w:sz="0" w:space="0" w:color="auto"/>
            <w:left w:val="none" w:sz="0" w:space="0" w:color="auto"/>
            <w:bottom w:val="none" w:sz="0" w:space="0" w:color="auto"/>
            <w:right w:val="none" w:sz="0" w:space="0" w:color="auto"/>
          </w:divBdr>
        </w:div>
        <w:div w:id="907115202">
          <w:marLeft w:val="446"/>
          <w:marRight w:val="0"/>
          <w:marTop w:val="0"/>
          <w:marBottom w:val="0"/>
          <w:divBdr>
            <w:top w:val="none" w:sz="0" w:space="0" w:color="auto"/>
            <w:left w:val="none" w:sz="0" w:space="0" w:color="auto"/>
            <w:bottom w:val="none" w:sz="0" w:space="0" w:color="auto"/>
            <w:right w:val="none" w:sz="0" w:space="0" w:color="auto"/>
          </w:divBdr>
        </w:div>
        <w:div w:id="215552730">
          <w:marLeft w:val="1166"/>
          <w:marRight w:val="0"/>
          <w:marTop w:val="0"/>
          <w:marBottom w:val="0"/>
          <w:divBdr>
            <w:top w:val="none" w:sz="0" w:space="0" w:color="auto"/>
            <w:left w:val="none" w:sz="0" w:space="0" w:color="auto"/>
            <w:bottom w:val="none" w:sz="0" w:space="0" w:color="auto"/>
            <w:right w:val="none" w:sz="0" w:space="0" w:color="auto"/>
          </w:divBdr>
        </w:div>
        <w:div w:id="1144077326">
          <w:marLeft w:val="1166"/>
          <w:marRight w:val="0"/>
          <w:marTop w:val="0"/>
          <w:marBottom w:val="0"/>
          <w:divBdr>
            <w:top w:val="none" w:sz="0" w:space="0" w:color="auto"/>
            <w:left w:val="none" w:sz="0" w:space="0" w:color="auto"/>
            <w:bottom w:val="none" w:sz="0" w:space="0" w:color="auto"/>
            <w:right w:val="none" w:sz="0" w:space="0" w:color="auto"/>
          </w:divBdr>
        </w:div>
      </w:divsChild>
    </w:div>
    <w:div w:id="2127044420">
      <w:bodyDiv w:val="1"/>
      <w:marLeft w:val="0"/>
      <w:marRight w:val="0"/>
      <w:marTop w:val="0"/>
      <w:marBottom w:val="0"/>
      <w:divBdr>
        <w:top w:val="none" w:sz="0" w:space="0" w:color="auto"/>
        <w:left w:val="none" w:sz="0" w:space="0" w:color="auto"/>
        <w:bottom w:val="none" w:sz="0" w:space="0" w:color="auto"/>
        <w:right w:val="none" w:sz="0" w:space="0" w:color="auto"/>
      </w:divBdr>
    </w:div>
    <w:div w:id="2136408147">
      <w:bodyDiv w:val="1"/>
      <w:marLeft w:val="0"/>
      <w:marRight w:val="0"/>
      <w:marTop w:val="0"/>
      <w:marBottom w:val="0"/>
      <w:divBdr>
        <w:top w:val="none" w:sz="0" w:space="0" w:color="auto"/>
        <w:left w:val="none" w:sz="0" w:space="0" w:color="auto"/>
        <w:bottom w:val="none" w:sz="0" w:space="0" w:color="auto"/>
        <w:right w:val="none" w:sz="0" w:space="0" w:color="auto"/>
      </w:divBdr>
    </w:div>
    <w:div w:id="214257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image" Target="media/image8.emf"/><Relationship Id="rId39" Type="http://schemas.openxmlformats.org/officeDocument/2006/relationships/hyperlink" Target="https://www.facebook.com/MintransporteColombiaoficial" TargetMode="External"/><Relationship Id="rId21" Type="http://schemas.openxmlformats.org/officeDocument/2006/relationships/image" Target="media/image5.emf"/><Relationship Id="rId34" Type="http://schemas.openxmlformats.org/officeDocument/2006/relationships/hyperlink" Target="https://www.mintransporte.gov.co/Documentos/Normatividad/decreto_unico_reglamento_-" TargetMode="External"/><Relationship Id="rId42" Type="http://schemas.openxmlformats.org/officeDocument/2006/relationships/hyperlink" Target="https://www.flickr.com/photos/mintransporteco/" TargetMode="External"/><Relationship Id="rId47" Type="http://schemas.openxmlformats.org/officeDocument/2006/relationships/hyperlink" Target="https://www.mintransporte.gov.co/descargar.php?id=5467" TargetMode="External"/><Relationship Id="rId50" Type="http://schemas.openxmlformats.org/officeDocument/2006/relationships/hyperlink" Target="https://www.mintransporte.gov.co/Publicaciones/atencion_al_ciudadano/transparencia_y_acceso_a_informacion_publica" TargetMode="External"/><Relationship Id="rId55" Type="http://schemas.openxmlformats.org/officeDocument/2006/relationships/hyperlink" Target="https://www.mintransporte.gov.co/Publicaciones/audiencia_publica_de_rendicion_de_cuentas_20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11.emf"/><Relationship Id="rId11" Type="http://schemas.openxmlformats.org/officeDocument/2006/relationships/chart" Target="charts/chart3.xml"/><Relationship Id="rId24" Type="http://schemas.openxmlformats.org/officeDocument/2006/relationships/chart" Target="charts/chart9.xml"/><Relationship Id="rId32" Type="http://schemas.openxmlformats.org/officeDocument/2006/relationships/hyperlink" Target="https://www.mintransporte.gov.co/Publicaciones/relatoria_de_conceptos_juridicos" TargetMode="External"/><Relationship Id="rId37" Type="http://schemas.openxmlformats.org/officeDocument/2006/relationships/hyperlink" Target="https://www.mintransporte.gov.co/Publicaciones/Tema/Noticias" TargetMode="External"/><Relationship Id="rId40" Type="http://schemas.openxmlformats.org/officeDocument/2006/relationships/hyperlink" Target="https://twitter.com/MinTransporteCo" TargetMode="External"/><Relationship Id="rId45" Type="http://schemas.openxmlformats.org/officeDocument/2006/relationships/hyperlink" Target="http://www.mintransporte.gov.co.Ubicado" TargetMode="External"/><Relationship Id="rId53" Type="http://schemas.openxmlformats.org/officeDocument/2006/relationships/hyperlink" Target="https://www.mintransporte.gov.co/Publicaciones/atencion_al_ciudadano/participacion_ciudadana/participacion_ferias_nacional_del_servicio_ciudadano"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chart" Target="charts/chart6.xml"/><Relationship Id="rId22" Type="http://schemas.openxmlformats.org/officeDocument/2006/relationships/hyperlink" Target="http://www.sgr.gov.co"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s://www.mintransporte.gov.co/Documentos/Normatividad/decreto_unico_reglamento_-dur" TargetMode="External"/><Relationship Id="rId43" Type="http://schemas.openxmlformats.org/officeDocument/2006/relationships/hyperlink" Target="https://www.instagram.com/mintransporteco/" TargetMode="External"/><Relationship Id="rId48" Type="http://schemas.openxmlformats.org/officeDocument/2006/relationships/hyperlink" Target="http://www.mintransporte.gov.co" TargetMode="External"/><Relationship Id="rId56"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https://www.mintransporte.gov.co/Publicaciones/atencion_al_ciudadano/peticiones_quejas_reclamos_y_sugerencias_pqrs/instructivo_para_realizar_tus_pqrs"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www.mintransporte.gov.co/Publicaciones/relatoria_de_conceptos_juridicos" TargetMode="External"/><Relationship Id="rId38" Type="http://schemas.openxmlformats.org/officeDocument/2006/relationships/hyperlink" Target="http://www.mintransporte.gov.co" TargetMode="External"/><Relationship Id="rId46" Type="http://schemas.openxmlformats.org/officeDocument/2006/relationships/hyperlink" Target="http://gestiondocumental.mintransporte.gov.co/consultaWeb/index_web.php" TargetMode="External"/><Relationship Id="rId59" Type="http://schemas.openxmlformats.org/officeDocument/2006/relationships/footer" Target="footer1.xml"/><Relationship Id="rId20" Type="http://schemas.openxmlformats.org/officeDocument/2006/relationships/hyperlink" Target="http://www.sgr.gov.co" TargetMode="External"/><Relationship Id="rId41" Type="http://schemas.openxmlformats.org/officeDocument/2006/relationships/hyperlink" Target="https://www.youtube.com/user/Mintransporte/videos"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hyperlink" Target="http://www.mintransporte.gov.co" TargetMode="External"/><Relationship Id="rId49" Type="http://schemas.openxmlformats.org/officeDocument/2006/relationships/hyperlink" Target="https://www.mintransporte.gov.co/Publicaciones/atencion_al_ciudadano/informacion_para_el_ciudadano" TargetMode="External"/><Relationship Id="rId57" Type="http://schemas.openxmlformats.org/officeDocument/2006/relationships/hyperlink" Target="https://www.mintransporte.gov.co/descargar.php?id=5484" TargetMode="External"/><Relationship Id="rId10"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hyperlink" Target="mailto:comunicacioninterna@mintransporte.gov.co" TargetMode="External"/><Relationship Id="rId52" Type="http://schemas.openxmlformats.org/officeDocument/2006/relationships/hyperlink" Target="https://www.mintransporte.gov.co/descargar.php?id=563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225;fico%202%20en%20Microsoft%20Word"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d:\Downloads\INFORME%20DE%20GESTI&#211;N.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areaChart>
        <c:grouping val="standard"/>
        <c:varyColors val="0"/>
        <c:ser>
          <c:idx val="1"/>
          <c:order val="1"/>
          <c:tx>
            <c:strRef>
              <c:f>'[Gráfico en Microsoft Word]Hoja1'!$C$2</c:f>
              <c:strCache>
                <c:ptCount val="1"/>
                <c:pt idx="0">
                  <c:v>Promedio Apropiación</c:v>
                </c:pt>
              </c:strCache>
            </c:strRef>
          </c:tx>
          <c:spPr>
            <a:solidFill>
              <a:srgbClr val="62A53D"/>
            </a:solidFill>
          </c:spPr>
          <c:dLbls>
            <c:dLbl>
              <c:idx val="1"/>
              <c:delete val="1"/>
              <c:extLst>
                <c:ext xmlns:c15="http://schemas.microsoft.com/office/drawing/2012/chart" uri="{CE6537A1-D6FC-4f65-9D91-7224C49458BB}"/>
              </c:extLst>
            </c:dLbl>
            <c:dLbl>
              <c:idx val="2"/>
              <c:layout>
                <c:manualLayout>
                  <c:x val="2.9421749462487268E-2"/>
                  <c:y val="8.3560262295117549E-17"/>
                </c:manualLayout>
              </c:layou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2.7158537965372865E-2"/>
                  <c:y val="4.5578851412944391E-3"/>
                </c:manualLayout>
              </c:layout>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6.7896344913432162E-3"/>
                  <c:y val="-4.5578851412944391E-2"/>
                </c:manualLayout>
              </c:layout>
              <c:showLegendKey val="0"/>
              <c:showVal val="1"/>
              <c:showCatName val="0"/>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2.2632114971144054E-3"/>
                  <c:y val="-4.5578851412945232E-3"/>
                </c:manualLayout>
              </c:layout>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layout>
                <c:manualLayout>
                  <c:x val="-2.4895326468258459E-2"/>
                  <c:y val="4.10209662716498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'TOTAL Inversión Sector'!$B$4:$O$4</c:f>
            </c:multiLvlStrRef>
          </c:cat>
          <c:val>
            <c:numRef>
              <c:f>'[Gráfico en Microsoft Word]Hoja1'!$C$3:$C$18</c:f>
              <c:numCache>
                <c:formatCode>_-[$$-240A]* #,##0_-;\-[$$-240A]* #,##0_-;_-[$$-240A]* "-"??_-;_-@_-</c:formatCode>
                <c:ptCount val="16"/>
                <c:pt idx="1">
                  <c:v>1534011.25</c:v>
                </c:pt>
                <c:pt idx="2">
                  <c:v>1534011.25</c:v>
                </c:pt>
                <c:pt idx="3">
                  <c:v>1534011.25</c:v>
                </c:pt>
                <c:pt idx="4">
                  <c:v>1534011.25</c:v>
                </c:pt>
                <c:pt idx="5">
                  <c:v>3131306.5</c:v>
                </c:pt>
                <c:pt idx="6">
                  <c:v>3131306.5</c:v>
                </c:pt>
                <c:pt idx="7">
                  <c:v>3131306.5</c:v>
                </c:pt>
                <c:pt idx="8">
                  <c:v>3131306.5</c:v>
                </c:pt>
                <c:pt idx="9">
                  <c:v>6915372</c:v>
                </c:pt>
                <c:pt idx="10">
                  <c:v>6915372</c:v>
                </c:pt>
                <c:pt idx="11">
                  <c:v>6915372</c:v>
                </c:pt>
                <c:pt idx="12">
                  <c:v>6915372</c:v>
                </c:pt>
                <c:pt idx="13">
                  <c:v>5935124.5</c:v>
                </c:pt>
                <c:pt idx="14">
                  <c:v>5935124.5</c:v>
                </c:pt>
                <c:pt idx="15">
                  <c:v>5443036.7554535</c:v>
                </c:pt>
              </c:numCache>
            </c:numRef>
          </c:val>
        </c:ser>
        <c:dLbls>
          <c:showLegendKey val="0"/>
          <c:showVal val="0"/>
          <c:showCatName val="0"/>
          <c:showSerName val="0"/>
          <c:showPercent val="0"/>
          <c:showBubbleSize val="0"/>
        </c:dLbls>
        <c:axId val="1837905936"/>
        <c:axId val="1837901584"/>
      </c:areaChart>
      <c:lineChart>
        <c:grouping val="standard"/>
        <c:varyColors val="0"/>
        <c:ser>
          <c:idx val="0"/>
          <c:order val="0"/>
          <c:tx>
            <c:strRef>
              <c:f>'[Gráfico en Microsoft Word]Hoja1'!$B$2</c:f>
              <c:strCache>
                <c:ptCount val="1"/>
                <c:pt idx="0">
                  <c:v>Apropiación</c:v>
                </c:pt>
              </c:strCache>
            </c:strRef>
          </c:tx>
          <c:marker>
            <c:symbol val="none"/>
          </c:marker>
          <c:cat>
            <c:numRef>
              <c:f>'[Gráfico en Microsoft Word]Hoja1'!$A$3:$A$18</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'[Gráfico en Microsoft Word]Hoja1'!$B$3:$B$18</c:f>
              <c:numCache>
                <c:formatCode>_-[$$-240A]* #,##0.00_-;\-[$$-240A]* #,##0.00_-;_-[$$-240A]* "-"??_-;_-@_-</c:formatCode>
                <c:ptCount val="16"/>
                <c:pt idx="0">
                  <c:v>1532716</c:v>
                </c:pt>
                <c:pt idx="1">
                  <c:v>931959</c:v>
                </c:pt>
                <c:pt idx="2">
                  <c:v>1162300</c:v>
                </c:pt>
                <c:pt idx="3">
                  <c:v>1470526</c:v>
                </c:pt>
                <c:pt idx="4">
                  <c:v>2571260</c:v>
                </c:pt>
                <c:pt idx="5">
                  <c:v>2877952</c:v>
                </c:pt>
                <c:pt idx="6">
                  <c:v>2331539</c:v>
                </c:pt>
                <c:pt idx="7">
                  <c:v>3527298</c:v>
                </c:pt>
                <c:pt idx="8">
                  <c:v>3788437</c:v>
                </c:pt>
                <c:pt idx="9">
                  <c:v>4969876</c:v>
                </c:pt>
                <c:pt idx="10">
                  <c:v>7689203</c:v>
                </c:pt>
                <c:pt idx="11">
                  <c:v>7952771</c:v>
                </c:pt>
                <c:pt idx="12">
                  <c:v>7049638</c:v>
                </c:pt>
                <c:pt idx="13">
                  <c:v>6628458</c:v>
                </c:pt>
                <c:pt idx="14">
                  <c:v>5241791</c:v>
                </c:pt>
                <c:pt idx="15" formatCode="_(&quot;$&quot;* #,##0.00_);_(&quot;$&quot;* \(#,##0.00\);_(&quot;$&quot;* &quot;-&quot;??_);_(@_)">
                  <c:v>5644282.5109069999</c:v>
                </c:pt>
              </c:numCache>
            </c:numRef>
          </c:val>
          <c:smooth val="0"/>
        </c:ser>
        <c:dLbls>
          <c:showLegendKey val="0"/>
          <c:showVal val="0"/>
          <c:showCatName val="0"/>
          <c:showSerName val="0"/>
          <c:showPercent val="0"/>
          <c:showBubbleSize val="0"/>
        </c:dLbls>
        <c:marker val="1"/>
        <c:smooth val="0"/>
        <c:axId val="1837905936"/>
        <c:axId val="1837901584"/>
      </c:lineChart>
      <c:catAx>
        <c:axId val="18379059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837901584"/>
        <c:crosses val="autoZero"/>
        <c:auto val="1"/>
        <c:lblAlgn val="ctr"/>
        <c:lblOffset val="100"/>
        <c:noMultiLvlLbl val="0"/>
      </c:catAx>
      <c:valAx>
        <c:axId val="1837901584"/>
        <c:scaling>
          <c:orientation val="minMax"/>
        </c:scaling>
        <c:delete val="0"/>
        <c:axPos val="l"/>
        <c:majorGridlines/>
        <c:numFmt formatCode="_-[$$-240A]* #,##0_-;\-[$$-240A]* #,##0_-;_-[$$-240A]*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837905936"/>
        <c:crosses val="autoZero"/>
        <c:crossBetween val="between"/>
      </c:valAx>
    </c:plotArea>
    <c:legend>
      <c:legendPos val="b"/>
      <c:overlay val="0"/>
      <c:txPr>
        <a:bodyPr/>
        <a:lstStyle/>
        <a:p>
          <a:pPr>
            <a:defRPr sz="775" b="0" i="0" u="none" strike="noStrike" baseline="0">
              <a:solidFill>
                <a:srgbClr val="000000"/>
              </a:solidFill>
              <a:latin typeface="Calibri"/>
              <a:ea typeface="Calibri"/>
              <a:cs typeface="Calibri"/>
            </a:defRPr>
          </a:pPr>
          <a:endParaRPr lang="es-CO"/>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'[Gráfico en Microsoft Word]Hoja2'!$B$2</c:f>
              <c:strCache>
                <c:ptCount val="1"/>
                <c:pt idx="0">
                  <c:v>Obligación/Apropiación</c:v>
                </c:pt>
              </c:strCache>
            </c:strRef>
          </c:tx>
          <c:marker>
            <c:symbol val="none"/>
          </c:marker>
          <c:dLbls>
            <c:spPr>
              <a:noFill/>
              <a:ln>
                <a:noFill/>
              </a:ln>
              <a:effectLst/>
            </c:spPr>
            <c:txPr>
              <a:bodyPr/>
              <a:lstStyle/>
              <a:p>
                <a:pPr>
                  <a:defRPr sz="1000" b="0" i="0" u="none" strike="noStrike" baseline="0">
                    <a:solidFill>
                      <a:srgbClr val="000000"/>
                    </a:solidFill>
                    <a:latin typeface="Calibri"/>
                    <a:ea typeface="Calibri"/>
                    <a:cs typeface="Calibri"/>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en Microsoft Word]Hoja2'!$A$3:$A$18</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'[Gráfico en Microsoft Word]Hoja2'!$B$3:$B$18</c:f>
              <c:numCache>
                <c:formatCode>0%</c:formatCode>
                <c:ptCount val="16"/>
                <c:pt idx="0">
                  <c:v>0.49</c:v>
                </c:pt>
                <c:pt idx="1">
                  <c:v>0.67</c:v>
                </c:pt>
                <c:pt idx="2">
                  <c:v>0.62</c:v>
                </c:pt>
                <c:pt idx="3">
                  <c:v>0.72</c:v>
                </c:pt>
                <c:pt idx="4">
                  <c:v>0.56999999999999995</c:v>
                </c:pt>
                <c:pt idx="5">
                  <c:v>0.86</c:v>
                </c:pt>
                <c:pt idx="6">
                  <c:v>0.85</c:v>
                </c:pt>
                <c:pt idx="7">
                  <c:v>0.85</c:v>
                </c:pt>
                <c:pt idx="8">
                  <c:v>0.74</c:v>
                </c:pt>
                <c:pt idx="9">
                  <c:v>0.81</c:v>
                </c:pt>
                <c:pt idx="10">
                  <c:v>0.86</c:v>
                </c:pt>
                <c:pt idx="11">
                  <c:v>0.92</c:v>
                </c:pt>
                <c:pt idx="12">
                  <c:v>0.89</c:v>
                </c:pt>
                <c:pt idx="13">
                  <c:v>0.85</c:v>
                </c:pt>
                <c:pt idx="14">
                  <c:v>0.88038633310065129</c:v>
                </c:pt>
                <c:pt idx="15">
                  <c:v>0.78200000000000003</c:v>
                </c:pt>
              </c:numCache>
            </c:numRef>
          </c:val>
          <c:smooth val="0"/>
        </c:ser>
        <c:dLbls>
          <c:showLegendKey val="0"/>
          <c:showVal val="0"/>
          <c:showCatName val="0"/>
          <c:showSerName val="0"/>
          <c:showPercent val="0"/>
          <c:showBubbleSize val="0"/>
        </c:dLbls>
        <c:smooth val="0"/>
        <c:axId val="1837894512"/>
        <c:axId val="1837906480"/>
      </c:lineChart>
      <c:catAx>
        <c:axId val="183789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837906480"/>
        <c:crosses val="autoZero"/>
        <c:auto val="1"/>
        <c:lblAlgn val="ctr"/>
        <c:lblOffset val="100"/>
        <c:noMultiLvlLbl val="0"/>
      </c:catAx>
      <c:valAx>
        <c:axId val="1837906480"/>
        <c:scaling>
          <c:orientation val="minMax"/>
        </c:scaling>
        <c:delete val="0"/>
        <c:axPos val="l"/>
        <c:majorGridlines>
          <c:spPr>
            <a:ln>
              <a:solidFill>
                <a:schemeClr val="bg1"/>
              </a:solidFill>
            </a:ln>
          </c:spPr>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837894512"/>
        <c:crosses val="autoZero"/>
        <c:crossBetween val="between"/>
      </c:valAx>
    </c:plotArea>
    <c:legend>
      <c:legendPos val="b"/>
      <c:overlay val="0"/>
      <c:txPr>
        <a:bodyPr/>
        <a:lstStyle/>
        <a:p>
          <a:pPr>
            <a:defRPr sz="775" b="0" i="0" u="none" strike="noStrike" baseline="0">
              <a:solidFill>
                <a:srgbClr val="000000"/>
              </a:solidFill>
              <a:latin typeface="Calibri"/>
              <a:ea typeface="Calibri"/>
              <a:cs typeface="Calibri"/>
            </a:defRPr>
          </a:pPr>
          <a:endParaRPr lang="es-CO"/>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'[Gráfico 2 en Microsoft Word]Hoja3'!$B$2</c:f>
              <c:strCache>
                <c:ptCount val="1"/>
                <c:pt idx="0">
                  <c:v>Obligación/Apropiación</c:v>
                </c:pt>
              </c:strCache>
            </c:strRef>
          </c:tx>
          <c:marker>
            <c:symbol val="none"/>
          </c:marker>
          <c:dLbls>
            <c:spPr>
              <a:noFill/>
              <a:ln>
                <a:noFill/>
              </a:ln>
              <a:effectLst/>
            </c:spPr>
            <c:txPr>
              <a:bodyPr/>
              <a:lstStyle/>
              <a:p>
                <a:pPr>
                  <a:defRPr sz="800" b="0" i="0" u="none" strike="noStrike" baseline="0">
                    <a:solidFill>
                      <a:srgbClr val="000000"/>
                    </a:solidFill>
                    <a:latin typeface="Calibri"/>
                    <a:ea typeface="Calibri"/>
                    <a:cs typeface="Calibri"/>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2 en Microsoft Word]Hoja3'!$A$4:$A$14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'[Gráfico 2 en Microsoft Word]Hoja3'!$B$4:$B$14</c:f>
              <c:numCache>
                <c:formatCode>0.0%</c:formatCode>
                <c:ptCount val="11"/>
                <c:pt idx="0">
                  <c:v>0.92700000000000005</c:v>
                </c:pt>
                <c:pt idx="1">
                  <c:v>0.78800000000000003</c:v>
                </c:pt>
                <c:pt idx="2">
                  <c:v>0.84799999999999998</c:v>
                </c:pt>
                <c:pt idx="3">
                  <c:v>0.93700000000000006</c:v>
                </c:pt>
                <c:pt idx="4">
                  <c:v>0.60699999999999998</c:v>
                </c:pt>
                <c:pt idx="5">
                  <c:v>0.54</c:v>
                </c:pt>
                <c:pt idx="6">
                  <c:v>0.91200000000000003</c:v>
                </c:pt>
                <c:pt idx="7">
                  <c:v>0.88700000000000001</c:v>
                </c:pt>
                <c:pt idx="8">
                  <c:v>0.96599999999999997</c:v>
                </c:pt>
                <c:pt idx="9">
                  <c:v>0.96503772627498863</c:v>
                </c:pt>
                <c:pt idx="10">
                  <c:v>0.93700000000000006</c:v>
                </c:pt>
              </c:numCache>
            </c:numRef>
          </c:val>
          <c:smooth val="0"/>
        </c:ser>
        <c:dLbls>
          <c:showLegendKey val="0"/>
          <c:showVal val="0"/>
          <c:showCatName val="0"/>
          <c:showSerName val="0"/>
          <c:showPercent val="0"/>
          <c:showBubbleSize val="0"/>
        </c:dLbls>
        <c:smooth val="0"/>
        <c:axId val="1837896144"/>
        <c:axId val="1837897232"/>
      </c:lineChart>
      <c:catAx>
        <c:axId val="183789614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1837897232"/>
        <c:crosses val="autoZero"/>
        <c:auto val="1"/>
        <c:lblAlgn val="ctr"/>
        <c:lblOffset val="100"/>
        <c:noMultiLvlLbl val="0"/>
      </c:catAx>
      <c:valAx>
        <c:axId val="1837897232"/>
        <c:scaling>
          <c:orientation val="minMax"/>
          <c:max val="1"/>
        </c:scaling>
        <c:delete val="0"/>
        <c:axPos val="l"/>
        <c:majorGridlines>
          <c:spPr>
            <a:ln>
              <a:solidFill>
                <a:schemeClr val="bg1"/>
              </a:solidFill>
            </a:ln>
          </c:spPr>
        </c:majorGridlines>
        <c:numFmt formatCode="0.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1837896144"/>
        <c:crosses val="autoZero"/>
        <c:crossBetween val="between"/>
      </c:valAx>
    </c:plotArea>
    <c:legend>
      <c:legendPos val="b"/>
      <c:overlay val="0"/>
      <c:txPr>
        <a:bodyPr/>
        <a:lstStyle/>
        <a:p>
          <a:pPr>
            <a:defRPr sz="650" b="0" i="0" u="none" strike="noStrike" baseline="0">
              <a:solidFill>
                <a:srgbClr val="000000"/>
              </a:solidFill>
              <a:latin typeface="Calibri"/>
              <a:ea typeface="Calibri"/>
              <a:cs typeface="Calibri"/>
            </a:defRPr>
          </a:pPr>
          <a:endParaRPr lang="es-CO"/>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3694654990555"/>
          <c:y val="5.6497175141242938E-2"/>
          <c:w val="0.57660354866585595"/>
          <c:h val="0.79664356349891963"/>
        </c:manualLayout>
      </c:layout>
      <c:barChart>
        <c:barDir val="col"/>
        <c:grouping val="clustered"/>
        <c:varyColors val="0"/>
        <c:ser>
          <c:idx val="0"/>
          <c:order val="0"/>
          <c:tx>
            <c:strRef>
              <c:f>'Hoja1 (2)'!$C$19</c:f>
              <c:strCache>
                <c:ptCount val="1"/>
                <c:pt idx="0">
                  <c:v>APROPIACION</c:v>
                </c:pt>
              </c:strCache>
            </c:strRef>
          </c:tx>
          <c:spPr>
            <a:solidFill>
              <a:schemeClr val="tx2">
                <a:lumMod val="60000"/>
                <a:lumOff val="40000"/>
              </a:schemeClr>
            </a:solidFill>
          </c:spPr>
          <c:invertIfNegative val="0"/>
          <c:dLbls>
            <c:dLbl>
              <c:idx val="0"/>
              <c:layout>
                <c:manualLayout>
                  <c:x val="3.4527926999779234E-3"/>
                  <c:y val="0.11911472930290494"/>
                </c:manualLayout>
              </c:layout>
              <c:tx>
                <c:strRef>
                  <c:f>'Hoja1 (2)'!$C$20</c:f>
                  <c:strCache>
                    <c:ptCount val="1"/>
                    <c:pt idx="0">
                      <c:v> 200.484   </c:v>
                    </c:pt>
                  </c:strCache>
                </c:strRef>
              </c:tx>
              <c:spPr/>
              <c:txPr>
                <a:bodyPr/>
                <a:lstStyle/>
                <a:p>
                  <a:pPr>
                    <a:defRPr sz="800">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80-4385-8656-19FEA199895C}"/>
                </c:ext>
                <c:ext xmlns:c15="http://schemas.microsoft.com/office/drawing/2012/chart" uri="{CE6537A1-D6FC-4f65-9D91-7224C49458BB}">
                  <c15:dlblFieldTable>
                    <c15:dlblFTEntry>
                      <c15:txfldGUID>{ADE9EF2A-1EB9-468B-9FEF-151D8FA2D357}</c15:txfldGUID>
                      <c15:f>'Hoja1 (2)'!$C$20</c15:f>
                      <c15:dlblFieldTableCache>
                        <c:ptCount val="1"/>
                        <c:pt idx="0">
                          <c:v> 200.484   </c:v>
                        </c:pt>
                      </c15:dlblFieldTableCache>
                    </c15:dlblFTEntry>
                  </c15:dlblFieldTable>
                  <c15:showDataLabelsRange val="0"/>
                </c:ext>
              </c:extLst>
            </c:dLbl>
            <c:spPr>
              <a:noFill/>
              <a:ln>
                <a:noFill/>
              </a:ln>
              <a:effectLst/>
            </c:spPr>
            <c:txPr>
              <a:bodyPr wrap="square" lIns="38100" tIns="19050" rIns="38100" bIns="19050" anchor="ctr">
                <a:spAutoFit/>
              </a:bodyPr>
              <a:lstStyle/>
              <a:p>
                <a:pPr>
                  <a:defRPr sz="8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(2)'!$C$20</c:f>
              <c:numCache>
                <c:formatCode>_-* #,##0\ _€_-;\-* #,##0\ _€_-;_-* "-"??\ _€_-;_-@_-</c:formatCode>
                <c:ptCount val="1"/>
                <c:pt idx="0">
                  <c:v>200484</c:v>
                </c:pt>
              </c:numCache>
            </c:numRef>
          </c:val>
          <c:extLst xmlns:c16r2="http://schemas.microsoft.com/office/drawing/2015/06/chart">
            <c:ext xmlns:c16="http://schemas.microsoft.com/office/drawing/2014/chart" uri="{C3380CC4-5D6E-409C-BE32-E72D297353CC}">
              <c16:uniqueId val="{00000001-D580-4385-8656-19FEA199895C}"/>
            </c:ext>
          </c:extLst>
        </c:ser>
        <c:ser>
          <c:idx val="1"/>
          <c:order val="1"/>
          <c:tx>
            <c:strRef>
              <c:f>'Hoja1 (2)'!$D$19</c:f>
              <c:strCache>
                <c:ptCount val="1"/>
                <c:pt idx="0">
                  <c:v>COMPROMISO</c:v>
                </c:pt>
              </c:strCache>
            </c:strRef>
          </c:tx>
          <c:spPr>
            <a:solidFill>
              <a:schemeClr val="accent6"/>
            </a:solidFill>
          </c:spPr>
          <c:invertIfNegative val="0"/>
          <c:dLbls>
            <c:dLbl>
              <c:idx val="0"/>
              <c:layout>
                <c:manualLayout>
                  <c:x val="-5.2179458876051707E-3"/>
                  <c:y val="0.42051158859379861"/>
                </c:manualLayout>
              </c:layout>
              <c:tx>
                <c:strRef>
                  <c:f>'Hoja1 (2)'!$E$20</c:f>
                  <c:strCache>
                    <c:ptCount val="1"/>
                    <c:pt idx="0">
                      <c:v>97,22%</c:v>
                    </c:pt>
                  </c:strCache>
                </c:strRef>
              </c:tx>
              <c:spPr/>
              <c:txPr>
                <a:bodyPr/>
                <a:lstStyle/>
                <a:p>
                  <a:pPr>
                    <a:defRPr sz="800">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80-4385-8656-19FEA199895C}"/>
                </c:ext>
                <c:ext xmlns:c15="http://schemas.microsoft.com/office/drawing/2012/chart" uri="{CE6537A1-D6FC-4f65-9D91-7224C49458BB}">
                  <c15:dlblFieldTable>
                    <c15:dlblFTEntry>
                      <c15:txfldGUID>{40BEE0A9-99ED-4AE1-9516-2EB41E963F9B}</c15:txfldGUID>
                      <c15:f>'Hoja1 (2)'!$E$20</c15:f>
                      <c15:dlblFieldTableCache>
                        <c:ptCount val="1"/>
                        <c:pt idx="0">
                          <c:v>97,22%</c:v>
                        </c:pt>
                      </c15:dlblFieldTableCache>
                    </c15:dlblFTEntry>
                  </c15:dlblFieldTable>
                  <c15:showDataLabelsRange val="0"/>
                </c:ext>
              </c:extLst>
            </c:dLbl>
            <c:spPr>
              <a:noFill/>
              <a:ln>
                <a:noFill/>
              </a:ln>
              <a:effectLst/>
            </c:spPr>
            <c:txPr>
              <a:bodyPr wrap="square" lIns="38100" tIns="19050" rIns="38100" bIns="19050" anchor="ctr">
                <a:spAutoFit/>
              </a:bodyPr>
              <a:lstStyle/>
              <a:p>
                <a:pPr>
                  <a:defRPr sz="8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(2)'!$D$20</c:f>
              <c:numCache>
                <c:formatCode>_-* #,##0\ _€_-;\-* #,##0\ _€_-;_-* "-"??\ _€_-;_-@_-</c:formatCode>
                <c:ptCount val="1"/>
                <c:pt idx="0">
                  <c:v>194904</c:v>
                </c:pt>
              </c:numCache>
            </c:numRef>
          </c:val>
          <c:extLst xmlns:c16r2="http://schemas.microsoft.com/office/drawing/2015/06/chart">
            <c:ext xmlns:c16="http://schemas.microsoft.com/office/drawing/2014/chart" uri="{C3380CC4-5D6E-409C-BE32-E72D297353CC}">
              <c16:uniqueId val="{00000003-D580-4385-8656-19FEA199895C}"/>
            </c:ext>
          </c:extLst>
        </c:ser>
        <c:ser>
          <c:idx val="2"/>
          <c:order val="2"/>
          <c:tx>
            <c:strRef>
              <c:f>'Hoja1 (2)'!$F$19</c:f>
              <c:strCache>
                <c:ptCount val="1"/>
                <c:pt idx="0">
                  <c:v>OBLIGACION</c:v>
                </c:pt>
              </c:strCache>
            </c:strRef>
          </c:tx>
          <c:spPr>
            <a:solidFill>
              <a:schemeClr val="bg2">
                <a:lumMod val="50000"/>
              </a:schemeClr>
            </a:solidFill>
          </c:spPr>
          <c:invertIfNegative val="0"/>
          <c:dLbls>
            <c:dLbl>
              <c:idx val="0"/>
              <c:layout>
                <c:manualLayout>
                  <c:x val="7.8585445480470594E-3"/>
                  <c:y val="0.12497695662057991"/>
                </c:manualLayout>
              </c:layout>
              <c:tx>
                <c:strRef>
                  <c:f>'Hoja1 (2)'!$G$20</c:f>
                  <c:strCache>
                    <c:ptCount val="1"/>
                    <c:pt idx="0">
                      <c:v>93,60%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80-4385-8656-19FEA199895C}"/>
                </c:ext>
                <c:ext xmlns:c15="http://schemas.microsoft.com/office/drawing/2012/chart" uri="{CE6537A1-D6FC-4f65-9D91-7224C49458BB}">
                  <c15:dlblFieldTable>
                    <c15:dlblFTEntry>
                      <c15:txfldGUID>{0630D71F-7A54-4308-B712-494CF7EC5314}</c15:txfldGUID>
                      <c15:f>'Hoja1 (2)'!$G$20</c15:f>
                      <c15:dlblFieldTableCache>
                        <c:ptCount val="1"/>
                        <c:pt idx="0">
                          <c:v>93,60%</c:v>
                        </c:pt>
                      </c15:dlblFieldTableCache>
                    </c15:dlblFTEntry>
                  </c15:dlblFieldTable>
                  <c15:showDataLabelsRange val="0"/>
                </c:ext>
              </c:extLst>
            </c:dLbl>
            <c:spPr>
              <a:noFill/>
              <a:ln>
                <a:noFill/>
              </a:ln>
              <a:effectLst/>
            </c:spPr>
            <c:txPr>
              <a:bodyPr wrap="square" lIns="38100" tIns="19050" rIns="38100" bIns="19050" anchor="ctr">
                <a:spAutoFit/>
              </a:bodyPr>
              <a:lstStyle/>
              <a:p>
                <a:pPr>
                  <a:defRPr sz="8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(2)'!$F$20</c:f>
              <c:numCache>
                <c:formatCode>_-* #,##0\ _€_-;\-* #,##0\ _€_-;_-* "-"??\ _€_-;_-@_-</c:formatCode>
                <c:ptCount val="1"/>
                <c:pt idx="0">
                  <c:v>187660</c:v>
                </c:pt>
              </c:numCache>
            </c:numRef>
          </c:val>
          <c:extLst xmlns:c16r2="http://schemas.microsoft.com/office/drawing/2015/06/chart">
            <c:ext xmlns:c16="http://schemas.microsoft.com/office/drawing/2014/chart" uri="{C3380CC4-5D6E-409C-BE32-E72D297353CC}">
              <c16:uniqueId val="{00000005-D580-4385-8656-19FEA199895C}"/>
            </c:ext>
          </c:extLst>
        </c:ser>
        <c:dLbls>
          <c:showLegendKey val="0"/>
          <c:showVal val="0"/>
          <c:showCatName val="0"/>
          <c:showSerName val="0"/>
          <c:showPercent val="0"/>
          <c:showBubbleSize val="0"/>
        </c:dLbls>
        <c:gapWidth val="150"/>
        <c:axId val="2100297520"/>
        <c:axId val="2100299152"/>
      </c:barChart>
      <c:catAx>
        <c:axId val="2100297520"/>
        <c:scaling>
          <c:orientation val="minMax"/>
        </c:scaling>
        <c:delete val="0"/>
        <c:axPos val="b"/>
        <c:numFmt formatCode="General" sourceLinked="0"/>
        <c:majorTickMark val="out"/>
        <c:minorTickMark val="none"/>
        <c:tickLblPos val="nextTo"/>
        <c:txPr>
          <a:bodyPr/>
          <a:lstStyle/>
          <a:p>
            <a:pPr>
              <a:defRPr sz="800"/>
            </a:pPr>
            <a:endParaRPr lang="es-CO"/>
          </a:p>
        </c:txPr>
        <c:crossAx val="2100299152"/>
        <c:crosses val="autoZero"/>
        <c:auto val="1"/>
        <c:lblAlgn val="ctr"/>
        <c:lblOffset val="100"/>
        <c:noMultiLvlLbl val="0"/>
      </c:catAx>
      <c:valAx>
        <c:axId val="2100299152"/>
        <c:scaling>
          <c:orientation val="minMax"/>
        </c:scaling>
        <c:delete val="0"/>
        <c:axPos val="l"/>
        <c:majorGridlines/>
        <c:numFmt formatCode="_-* #,##0\ _€_-;\-* #,##0\ _€_-;_-* &quot;-&quot;??\ _€_-;_-@_-" sourceLinked="1"/>
        <c:majorTickMark val="out"/>
        <c:minorTickMark val="none"/>
        <c:tickLblPos val="nextTo"/>
        <c:txPr>
          <a:bodyPr/>
          <a:lstStyle/>
          <a:p>
            <a:pPr>
              <a:defRPr sz="800"/>
            </a:pPr>
            <a:endParaRPr lang="es-CO"/>
          </a:p>
        </c:txPr>
        <c:crossAx val="2100297520"/>
        <c:crosses val="autoZero"/>
        <c:crossBetween val="between"/>
      </c:valAx>
    </c:plotArea>
    <c:legend>
      <c:legendPos val="r"/>
      <c:overlay val="0"/>
      <c:txPr>
        <a:bodyPr/>
        <a:lstStyle/>
        <a:p>
          <a:pPr>
            <a:defRPr sz="800"/>
          </a:pPr>
          <a:endParaRPr lang="es-CO"/>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3694654990555"/>
          <c:y val="5.6497175141242938E-2"/>
          <c:w val="0.57660354866585595"/>
          <c:h val="0.79664356349891963"/>
        </c:manualLayout>
      </c:layout>
      <c:barChart>
        <c:barDir val="col"/>
        <c:grouping val="clustered"/>
        <c:varyColors val="0"/>
        <c:ser>
          <c:idx val="0"/>
          <c:order val="0"/>
          <c:tx>
            <c:strRef>
              <c:f>'Hoja1 (3)'!$C$8</c:f>
              <c:strCache>
                <c:ptCount val="1"/>
                <c:pt idx="0">
                  <c:v>APROPIACION</c:v>
                </c:pt>
              </c:strCache>
            </c:strRef>
          </c:tx>
          <c:spPr>
            <a:solidFill>
              <a:schemeClr val="tx2">
                <a:lumMod val="60000"/>
                <a:lumOff val="40000"/>
              </a:schemeClr>
            </a:solidFill>
          </c:spPr>
          <c:invertIfNegative val="0"/>
          <c:dLbls>
            <c:dLbl>
              <c:idx val="0"/>
              <c:layout>
                <c:manualLayout>
                  <c:x val="3.4527926999779234E-3"/>
                  <c:y val="0.11911472930290494"/>
                </c:manualLayout>
              </c:layout>
              <c:tx>
                <c:strRef>
                  <c:f>'Hoja1 (3)'!$C$9</c:f>
                  <c:strCache>
                    <c:ptCount val="1"/>
                    <c:pt idx="0">
                      <c:v> 23.008   </c:v>
                    </c:pt>
                  </c:strCache>
                </c:strRef>
              </c:tx>
              <c:spPr/>
              <c:txPr>
                <a:bodyPr/>
                <a:lstStyle/>
                <a:p>
                  <a:pPr>
                    <a:defRPr sz="900">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0A-495B-9ED4-849D4413E43D}"/>
                </c:ext>
                <c:ext xmlns:c15="http://schemas.microsoft.com/office/drawing/2012/chart" uri="{CE6537A1-D6FC-4f65-9D91-7224C49458BB}">
                  <c15:dlblFieldTable>
                    <c15:dlblFTEntry>
                      <c15:txfldGUID>{613D68E1-88E3-45C5-A556-0BED7D067978}</c15:txfldGUID>
                      <c15:f>'Hoja1 (3)'!$C$9</c15:f>
                      <c15:dlblFieldTableCache>
                        <c:ptCount val="1"/>
                        <c:pt idx="0">
                          <c:v> 23.008   </c:v>
                        </c:pt>
                      </c15:dlblFieldTableCache>
                    </c15:dlblFTEntry>
                  </c15:dlblFieldTable>
                  <c15:showDataLabelsRange val="0"/>
                </c:ext>
              </c:extLst>
            </c:dLbl>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(3)'!$C$9</c:f>
              <c:numCache>
                <c:formatCode>_-* #,##0\ _€_-;\-* #,##0\ _€_-;_-* "-"??\ _€_-;_-@_-</c:formatCode>
                <c:ptCount val="1"/>
                <c:pt idx="0">
                  <c:v>23008</c:v>
                </c:pt>
              </c:numCache>
            </c:numRef>
          </c:val>
          <c:extLst xmlns:c16r2="http://schemas.microsoft.com/office/drawing/2015/06/chart">
            <c:ext xmlns:c16="http://schemas.microsoft.com/office/drawing/2014/chart" uri="{C3380CC4-5D6E-409C-BE32-E72D297353CC}">
              <c16:uniqueId val="{00000001-2F0A-495B-9ED4-849D4413E43D}"/>
            </c:ext>
          </c:extLst>
        </c:ser>
        <c:ser>
          <c:idx val="1"/>
          <c:order val="1"/>
          <c:tx>
            <c:strRef>
              <c:f>'Hoja1 (3)'!$D$8</c:f>
              <c:strCache>
                <c:ptCount val="1"/>
                <c:pt idx="0">
                  <c:v>COMPROMISO</c:v>
                </c:pt>
              </c:strCache>
            </c:strRef>
          </c:tx>
          <c:spPr>
            <a:solidFill>
              <a:schemeClr val="accent6"/>
            </a:solidFill>
          </c:spPr>
          <c:invertIfNegative val="0"/>
          <c:dLbls>
            <c:dLbl>
              <c:idx val="0"/>
              <c:layout>
                <c:manualLayout>
                  <c:x val="-5.2179458876051707E-3"/>
                  <c:y val="0.42051158859379861"/>
                </c:manualLayout>
              </c:layout>
              <c:tx>
                <c:strRef>
                  <c:f>'Hoja1 (3)'!$E$9</c:f>
                  <c:strCache>
                    <c:ptCount val="1"/>
                    <c:pt idx="0">
                      <c:v>99,94%</c:v>
                    </c:pt>
                  </c:strCache>
                </c:strRef>
              </c:tx>
              <c:spPr/>
              <c:txPr>
                <a:bodyPr/>
                <a:lstStyle/>
                <a:p>
                  <a:pPr>
                    <a:defRPr sz="900">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0A-495B-9ED4-849D4413E43D}"/>
                </c:ext>
                <c:ext xmlns:c15="http://schemas.microsoft.com/office/drawing/2012/chart" uri="{CE6537A1-D6FC-4f65-9D91-7224C49458BB}">
                  <c15:dlblFieldTable>
                    <c15:dlblFTEntry>
                      <c15:txfldGUID>{EDCA0264-231B-48B6-871E-83888026EEEA}</c15:txfldGUID>
                      <c15:f>'Hoja1 (3)'!$E$9</c15:f>
                      <c15:dlblFieldTableCache>
                        <c:ptCount val="1"/>
                        <c:pt idx="0">
                          <c:v>99,94%</c:v>
                        </c:pt>
                      </c15:dlblFieldTableCache>
                    </c15:dlblFTEntry>
                  </c15:dlblFieldTable>
                  <c15:showDataLabelsRange val="0"/>
                </c:ext>
              </c:extLst>
            </c:dLbl>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(3)'!$D$9</c:f>
              <c:numCache>
                <c:formatCode>_-* #,##0\ _€_-;\-* #,##0\ _€_-;_-* "-"??\ _€_-;_-@_-</c:formatCode>
                <c:ptCount val="1"/>
                <c:pt idx="0">
                  <c:v>22995</c:v>
                </c:pt>
              </c:numCache>
            </c:numRef>
          </c:val>
          <c:extLst xmlns:c16r2="http://schemas.microsoft.com/office/drawing/2015/06/chart">
            <c:ext xmlns:c16="http://schemas.microsoft.com/office/drawing/2014/chart" uri="{C3380CC4-5D6E-409C-BE32-E72D297353CC}">
              <c16:uniqueId val="{00000003-2F0A-495B-9ED4-849D4413E43D}"/>
            </c:ext>
          </c:extLst>
        </c:ser>
        <c:ser>
          <c:idx val="2"/>
          <c:order val="2"/>
          <c:tx>
            <c:strRef>
              <c:f>'Hoja1 (3)'!$F$8</c:f>
              <c:strCache>
                <c:ptCount val="1"/>
                <c:pt idx="0">
                  <c:v>OBLIGACION</c:v>
                </c:pt>
              </c:strCache>
            </c:strRef>
          </c:tx>
          <c:spPr>
            <a:solidFill>
              <a:schemeClr val="bg2">
                <a:lumMod val="50000"/>
              </a:schemeClr>
            </a:solidFill>
          </c:spPr>
          <c:invertIfNegative val="0"/>
          <c:dLbls>
            <c:dLbl>
              <c:idx val="0"/>
              <c:layout>
                <c:manualLayout>
                  <c:x val="7.8585445480470594E-3"/>
                  <c:y val="0.12497695662057991"/>
                </c:manualLayout>
              </c:layout>
              <c:tx>
                <c:strRef>
                  <c:f>'Hoja1 (3)'!$G$9</c:f>
                  <c:strCache>
                    <c:ptCount val="1"/>
                    <c:pt idx="0">
                      <c:v>99,27%</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0A-495B-9ED4-849D4413E43D}"/>
                </c:ext>
                <c:ext xmlns:c15="http://schemas.microsoft.com/office/drawing/2012/chart" uri="{CE6537A1-D6FC-4f65-9D91-7224C49458BB}">
                  <c15:dlblFieldTable>
                    <c15:dlblFTEntry>
                      <c15:txfldGUID>{6897C1CC-1440-40B4-A428-E857F9D4DEF2}</c15:txfldGUID>
                      <c15:f>'Hoja1 (3)'!$G$9</c15:f>
                      <c15:dlblFieldTableCache>
                        <c:ptCount val="1"/>
                        <c:pt idx="0">
                          <c:v>99,27%</c:v>
                        </c:pt>
                      </c15:dlblFieldTableCache>
                    </c15:dlblFTEntry>
                  </c15:dlblFieldTable>
                  <c15:showDataLabelsRange val="0"/>
                </c:ext>
              </c:extLst>
            </c:dLbl>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(3)'!$F$9</c:f>
              <c:numCache>
                <c:formatCode>_-* #,##0\ _€_-;\-* #,##0\ _€_-;_-* "-"??\ _€_-;_-@_-</c:formatCode>
                <c:ptCount val="1"/>
                <c:pt idx="0">
                  <c:v>22841</c:v>
                </c:pt>
              </c:numCache>
            </c:numRef>
          </c:val>
          <c:extLst xmlns:c16r2="http://schemas.microsoft.com/office/drawing/2015/06/chart">
            <c:ext xmlns:c16="http://schemas.microsoft.com/office/drawing/2014/chart" uri="{C3380CC4-5D6E-409C-BE32-E72D297353CC}">
              <c16:uniqueId val="{00000005-2F0A-495B-9ED4-849D4413E43D}"/>
            </c:ext>
          </c:extLst>
        </c:ser>
        <c:dLbls>
          <c:showLegendKey val="0"/>
          <c:showVal val="0"/>
          <c:showCatName val="0"/>
          <c:showSerName val="0"/>
          <c:showPercent val="0"/>
          <c:showBubbleSize val="0"/>
        </c:dLbls>
        <c:gapWidth val="150"/>
        <c:axId val="2100294256"/>
        <c:axId val="2100296432"/>
      </c:barChart>
      <c:catAx>
        <c:axId val="2100294256"/>
        <c:scaling>
          <c:orientation val="minMax"/>
        </c:scaling>
        <c:delete val="0"/>
        <c:axPos val="b"/>
        <c:numFmt formatCode="General" sourceLinked="0"/>
        <c:majorTickMark val="out"/>
        <c:minorTickMark val="none"/>
        <c:tickLblPos val="nextTo"/>
        <c:txPr>
          <a:bodyPr/>
          <a:lstStyle/>
          <a:p>
            <a:pPr>
              <a:defRPr sz="800"/>
            </a:pPr>
            <a:endParaRPr lang="es-CO"/>
          </a:p>
        </c:txPr>
        <c:crossAx val="2100296432"/>
        <c:crosses val="autoZero"/>
        <c:auto val="1"/>
        <c:lblAlgn val="ctr"/>
        <c:lblOffset val="100"/>
        <c:noMultiLvlLbl val="0"/>
      </c:catAx>
      <c:valAx>
        <c:axId val="2100296432"/>
        <c:scaling>
          <c:orientation val="minMax"/>
        </c:scaling>
        <c:delete val="0"/>
        <c:axPos val="l"/>
        <c:majorGridlines/>
        <c:numFmt formatCode="_-* #,##0\ _€_-;\-* #,##0\ _€_-;_-* &quot;-&quot;??\ _€_-;_-@_-" sourceLinked="1"/>
        <c:majorTickMark val="out"/>
        <c:minorTickMark val="none"/>
        <c:tickLblPos val="nextTo"/>
        <c:txPr>
          <a:bodyPr/>
          <a:lstStyle/>
          <a:p>
            <a:pPr>
              <a:defRPr sz="800"/>
            </a:pPr>
            <a:endParaRPr lang="es-CO"/>
          </a:p>
        </c:txPr>
        <c:crossAx val="2100294256"/>
        <c:crosses val="autoZero"/>
        <c:crossBetween val="between"/>
      </c:valAx>
    </c:plotArea>
    <c:legend>
      <c:legendPos val="r"/>
      <c:overlay val="0"/>
      <c:txPr>
        <a:bodyPr/>
        <a:lstStyle/>
        <a:p>
          <a:pPr>
            <a:defRPr sz="800"/>
          </a:pPr>
          <a:endParaRPr lang="es-CO"/>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3694654990555"/>
          <c:y val="5.6497175141242938E-2"/>
          <c:w val="0.57660354866585595"/>
          <c:h val="0.79664356349891963"/>
        </c:manualLayout>
      </c:layout>
      <c:barChart>
        <c:barDir val="col"/>
        <c:grouping val="clustered"/>
        <c:varyColors val="0"/>
        <c:ser>
          <c:idx val="0"/>
          <c:order val="0"/>
          <c:tx>
            <c:strRef>
              <c:f>'Hoja1 (4)'!$C$11</c:f>
              <c:strCache>
                <c:ptCount val="1"/>
                <c:pt idx="0">
                  <c:v>APROPIACION</c:v>
                </c:pt>
              </c:strCache>
            </c:strRef>
          </c:tx>
          <c:spPr>
            <a:solidFill>
              <a:schemeClr val="tx2">
                <a:lumMod val="60000"/>
                <a:lumOff val="40000"/>
              </a:schemeClr>
            </a:solidFill>
          </c:spPr>
          <c:invertIfNegative val="0"/>
          <c:dLbls>
            <c:dLbl>
              <c:idx val="0"/>
              <c:layout>
                <c:manualLayout>
                  <c:x val="3.4527926999779234E-3"/>
                  <c:y val="0.11911472930290494"/>
                </c:manualLayout>
              </c:layout>
              <c:tx>
                <c:strRef>
                  <c:f>'Hoja1 (4)'!$C$12</c:f>
                  <c:strCache>
                    <c:ptCount val="1"/>
                    <c:pt idx="0">
                      <c:v> 8.600   </c:v>
                    </c:pt>
                  </c:strCache>
                </c:strRef>
              </c:tx>
              <c:spPr/>
              <c:txPr>
                <a:bodyPr/>
                <a:lstStyle/>
                <a:p>
                  <a:pPr>
                    <a:defRPr>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C4-41D1-8DB1-904138A8E115}"/>
                </c:ext>
                <c:ext xmlns:c15="http://schemas.microsoft.com/office/drawing/2012/chart" uri="{CE6537A1-D6FC-4f65-9D91-7224C49458BB}">
                  <c15:dlblFieldTable>
                    <c15:dlblFTEntry>
                      <c15:txfldGUID>{8312F318-0782-4E0F-BEC6-9ED99BC9AFAD}</c15:txfldGUID>
                      <c15:f>'Hoja1 (4)'!$C$12</c15:f>
                      <c15:dlblFieldTableCache>
                        <c:ptCount val="1"/>
                        <c:pt idx="0">
                          <c:v> 8.600   </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(4)'!$C$12</c:f>
              <c:numCache>
                <c:formatCode>_-* #,##0\ _€_-;\-* #,##0\ _€_-;_-* "-"??\ _€_-;_-@_-</c:formatCode>
                <c:ptCount val="1"/>
                <c:pt idx="0">
                  <c:v>8600</c:v>
                </c:pt>
              </c:numCache>
            </c:numRef>
          </c:val>
          <c:extLst xmlns:c16r2="http://schemas.microsoft.com/office/drawing/2015/06/chart">
            <c:ext xmlns:c16="http://schemas.microsoft.com/office/drawing/2014/chart" uri="{C3380CC4-5D6E-409C-BE32-E72D297353CC}">
              <c16:uniqueId val="{00000001-57C4-41D1-8DB1-904138A8E115}"/>
            </c:ext>
          </c:extLst>
        </c:ser>
        <c:ser>
          <c:idx val="1"/>
          <c:order val="1"/>
          <c:tx>
            <c:strRef>
              <c:f>'Hoja1 (4)'!$D$11</c:f>
              <c:strCache>
                <c:ptCount val="1"/>
                <c:pt idx="0">
                  <c:v>COMPROMISO</c:v>
                </c:pt>
              </c:strCache>
            </c:strRef>
          </c:tx>
          <c:spPr>
            <a:solidFill>
              <a:schemeClr val="accent6"/>
            </a:solidFill>
          </c:spPr>
          <c:invertIfNegative val="0"/>
          <c:dLbls>
            <c:dLbl>
              <c:idx val="0"/>
              <c:layout>
                <c:manualLayout>
                  <c:x val="-5.2179458876051707E-3"/>
                  <c:y val="0.42051158859379861"/>
                </c:manualLayout>
              </c:layout>
              <c:tx>
                <c:strRef>
                  <c:f>'Hoja1 (4)'!$E$12</c:f>
                  <c:strCache>
                    <c:ptCount val="1"/>
                    <c:pt idx="0">
                      <c:v>98,95%</c:v>
                    </c:pt>
                  </c:strCache>
                </c:strRef>
              </c:tx>
              <c:spPr/>
              <c:txPr>
                <a:bodyPr/>
                <a:lstStyle/>
                <a:p>
                  <a:pPr>
                    <a:defRPr>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C4-41D1-8DB1-904138A8E115}"/>
                </c:ext>
                <c:ext xmlns:c15="http://schemas.microsoft.com/office/drawing/2012/chart" uri="{CE6537A1-D6FC-4f65-9D91-7224C49458BB}">
                  <c15:dlblFieldTable>
                    <c15:dlblFTEntry>
                      <c15:txfldGUID>{C0FF9F0B-78DD-4B3F-95E9-A55D36D5C0FA}</c15:txfldGUID>
                      <c15:f>'Hoja1 (4)'!$E$12</c15:f>
                      <c15:dlblFieldTableCache>
                        <c:ptCount val="1"/>
                        <c:pt idx="0">
                          <c:v>98,95%</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(4)'!$D$12</c:f>
              <c:numCache>
                <c:formatCode>_-* #,##0\ _€_-;\-* #,##0\ _€_-;_-* "-"??\ _€_-;_-@_-</c:formatCode>
                <c:ptCount val="1"/>
                <c:pt idx="0">
                  <c:v>8510</c:v>
                </c:pt>
              </c:numCache>
            </c:numRef>
          </c:val>
          <c:extLst xmlns:c16r2="http://schemas.microsoft.com/office/drawing/2015/06/chart">
            <c:ext xmlns:c16="http://schemas.microsoft.com/office/drawing/2014/chart" uri="{C3380CC4-5D6E-409C-BE32-E72D297353CC}">
              <c16:uniqueId val="{00000003-57C4-41D1-8DB1-904138A8E115}"/>
            </c:ext>
          </c:extLst>
        </c:ser>
        <c:ser>
          <c:idx val="2"/>
          <c:order val="2"/>
          <c:tx>
            <c:strRef>
              <c:f>'Hoja1 (4)'!$F$11</c:f>
              <c:strCache>
                <c:ptCount val="1"/>
                <c:pt idx="0">
                  <c:v>OBLIGACION</c:v>
                </c:pt>
              </c:strCache>
            </c:strRef>
          </c:tx>
          <c:spPr>
            <a:solidFill>
              <a:schemeClr val="bg2">
                <a:lumMod val="50000"/>
              </a:schemeClr>
            </a:solidFill>
          </c:spPr>
          <c:invertIfNegative val="0"/>
          <c:dLbls>
            <c:dLbl>
              <c:idx val="0"/>
              <c:layout>
                <c:manualLayout>
                  <c:x val="7.8585445480470594E-3"/>
                  <c:y val="0.12497695662057991"/>
                </c:manualLayout>
              </c:layout>
              <c:tx>
                <c:strRef>
                  <c:f>'Hoja1 (4)'!$G$12</c:f>
                  <c:strCache>
                    <c:ptCount val="1"/>
                    <c:pt idx="0">
                      <c:v>81,60%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C4-41D1-8DB1-904138A8E115}"/>
                </c:ext>
                <c:ext xmlns:c15="http://schemas.microsoft.com/office/drawing/2012/chart" uri="{CE6537A1-D6FC-4f65-9D91-7224C49458BB}">
                  <c15:dlblFieldTable>
                    <c15:dlblFTEntry>
                      <c15:txfldGUID>{B9A627EA-8546-42AE-A45E-55E0371CE1C7}</c15:txfldGUID>
                      <c15:f>'Hoja1 (4)'!$G$12</c15:f>
                      <c15:dlblFieldTableCache>
                        <c:ptCount val="1"/>
                        <c:pt idx="0">
                          <c:v>81,60%</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(4)'!$F$12</c:f>
              <c:numCache>
                <c:formatCode>_-* #,##0\ _€_-;\-* #,##0\ _€_-;_-* "-"??\ _€_-;_-@_-</c:formatCode>
                <c:ptCount val="1"/>
                <c:pt idx="0">
                  <c:v>7018</c:v>
                </c:pt>
              </c:numCache>
            </c:numRef>
          </c:val>
          <c:extLst xmlns:c16r2="http://schemas.microsoft.com/office/drawing/2015/06/chart">
            <c:ext xmlns:c16="http://schemas.microsoft.com/office/drawing/2014/chart" uri="{C3380CC4-5D6E-409C-BE32-E72D297353CC}">
              <c16:uniqueId val="{00000005-57C4-41D1-8DB1-904138A8E115}"/>
            </c:ext>
          </c:extLst>
        </c:ser>
        <c:dLbls>
          <c:showLegendKey val="0"/>
          <c:showVal val="0"/>
          <c:showCatName val="0"/>
          <c:showSerName val="0"/>
          <c:showPercent val="0"/>
          <c:showBubbleSize val="0"/>
        </c:dLbls>
        <c:gapWidth val="150"/>
        <c:axId val="2100294800"/>
        <c:axId val="2100299696"/>
      </c:barChart>
      <c:catAx>
        <c:axId val="2100294800"/>
        <c:scaling>
          <c:orientation val="minMax"/>
        </c:scaling>
        <c:delete val="0"/>
        <c:axPos val="b"/>
        <c:numFmt formatCode="General" sourceLinked="0"/>
        <c:majorTickMark val="out"/>
        <c:minorTickMark val="none"/>
        <c:tickLblPos val="nextTo"/>
        <c:crossAx val="2100299696"/>
        <c:crosses val="autoZero"/>
        <c:auto val="1"/>
        <c:lblAlgn val="ctr"/>
        <c:lblOffset val="100"/>
        <c:noMultiLvlLbl val="0"/>
      </c:catAx>
      <c:valAx>
        <c:axId val="2100299696"/>
        <c:scaling>
          <c:orientation val="minMax"/>
        </c:scaling>
        <c:delete val="0"/>
        <c:axPos val="l"/>
        <c:majorGridlines/>
        <c:numFmt formatCode="_-* #,##0\ _€_-;\-* #,##0\ _€_-;_-* &quot;-&quot;??\ _€_-;_-@_-" sourceLinked="1"/>
        <c:majorTickMark val="out"/>
        <c:minorTickMark val="none"/>
        <c:tickLblPos val="nextTo"/>
        <c:txPr>
          <a:bodyPr/>
          <a:lstStyle/>
          <a:p>
            <a:pPr>
              <a:defRPr sz="800"/>
            </a:pPr>
            <a:endParaRPr lang="es-CO"/>
          </a:p>
        </c:txPr>
        <c:crossAx val="2100294800"/>
        <c:crosses val="autoZero"/>
        <c:crossBetween val="between"/>
      </c:valAx>
    </c:plotArea>
    <c:legend>
      <c:legendPos val="r"/>
      <c:overlay val="0"/>
      <c:txPr>
        <a:bodyPr/>
        <a:lstStyle/>
        <a:p>
          <a:pPr>
            <a:defRPr sz="800"/>
          </a:pPr>
          <a:endParaRPr lang="es-CO"/>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3694654990555"/>
          <c:y val="5.6497175141242938E-2"/>
          <c:w val="0.57660354866585595"/>
          <c:h val="0.79664356349891963"/>
        </c:manualLayout>
      </c:layout>
      <c:barChart>
        <c:barDir val="col"/>
        <c:grouping val="clustered"/>
        <c:varyColors val="0"/>
        <c:ser>
          <c:idx val="0"/>
          <c:order val="0"/>
          <c:tx>
            <c:strRef>
              <c:f>'Hoja1 (5)'!$C$7</c:f>
              <c:strCache>
                <c:ptCount val="1"/>
                <c:pt idx="0">
                  <c:v>APROPIACION</c:v>
                </c:pt>
              </c:strCache>
            </c:strRef>
          </c:tx>
          <c:spPr>
            <a:solidFill>
              <a:schemeClr val="tx2">
                <a:lumMod val="60000"/>
                <a:lumOff val="40000"/>
              </a:schemeClr>
            </a:solidFill>
          </c:spPr>
          <c:invertIfNegative val="0"/>
          <c:dLbls>
            <c:dLbl>
              <c:idx val="0"/>
              <c:layout>
                <c:manualLayout>
                  <c:x val="3.4527926999779234E-3"/>
                  <c:y val="0.11911472930290494"/>
                </c:manualLayout>
              </c:layout>
              <c:tx>
                <c:strRef>
                  <c:f>'Hoja1 (5)'!$C$8</c:f>
                  <c:strCache>
                    <c:ptCount val="1"/>
                    <c:pt idx="0">
                      <c:v> 800   </c:v>
                    </c:pt>
                  </c:strCache>
                </c:strRef>
              </c:tx>
              <c:spPr/>
              <c:txPr>
                <a:bodyPr/>
                <a:lstStyle/>
                <a:p>
                  <a:pPr>
                    <a:defRPr sz="900">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A2-4025-B362-29D232D01BB5}"/>
                </c:ext>
                <c:ext xmlns:c15="http://schemas.microsoft.com/office/drawing/2012/chart" uri="{CE6537A1-D6FC-4f65-9D91-7224C49458BB}">
                  <c15:dlblFieldTable>
                    <c15:dlblFTEntry>
                      <c15:txfldGUID>{A6EE2A55-2277-44F3-830D-C30D6EC1B84B}</c15:txfldGUID>
                      <c15:f>'Hoja1 (5)'!$C$8</c15:f>
                      <c15:dlblFieldTableCache>
                        <c:ptCount val="1"/>
                        <c:pt idx="0">
                          <c:v> 800   </c:v>
                        </c:pt>
                      </c15:dlblFieldTableCache>
                    </c15:dlblFTEntry>
                  </c15:dlblFieldTable>
                  <c15:showDataLabelsRange val="0"/>
                </c:ext>
              </c:extLst>
            </c:dLbl>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(5)'!$C$8</c:f>
              <c:numCache>
                <c:formatCode>_-* #,##0\ _€_-;\-* #,##0\ _€_-;_-* "-"??\ _€_-;_-@_-</c:formatCode>
                <c:ptCount val="1"/>
                <c:pt idx="0">
                  <c:v>800</c:v>
                </c:pt>
              </c:numCache>
            </c:numRef>
          </c:val>
          <c:extLst xmlns:c16r2="http://schemas.microsoft.com/office/drawing/2015/06/chart">
            <c:ext xmlns:c16="http://schemas.microsoft.com/office/drawing/2014/chart" uri="{C3380CC4-5D6E-409C-BE32-E72D297353CC}">
              <c16:uniqueId val="{00000001-60A2-4025-B362-29D232D01BB5}"/>
            </c:ext>
          </c:extLst>
        </c:ser>
        <c:ser>
          <c:idx val="1"/>
          <c:order val="1"/>
          <c:tx>
            <c:strRef>
              <c:f>'Hoja1 (5)'!$D$7</c:f>
              <c:strCache>
                <c:ptCount val="1"/>
                <c:pt idx="0">
                  <c:v>COMPROMISO</c:v>
                </c:pt>
              </c:strCache>
            </c:strRef>
          </c:tx>
          <c:spPr>
            <a:solidFill>
              <a:schemeClr val="accent6"/>
            </a:solidFill>
          </c:spPr>
          <c:invertIfNegative val="0"/>
          <c:dLbls>
            <c:dLbl>
              <c:idx val="0"/>
              <c:tx>
                <c:strRef>
                  <c:f>'Hoja1 (5)'!$E$8</c:f>
                  <c:strCache>
                    <c:ptCount val="1"/>
                    <c:pt idx="0">
                      <c:v>99,00%</c:v>
                    </c:pt>
                  </c:strCache>
                </c:strRef>
              </c:tx>
              <c:spPr/>
              <c:txPr>
                <a:bodyPr/>
                <a:lstStyle/>
                <a:p>
                  <a:pPr>
                    <a:defRPr sz="900">
                      <a:solidFill>
                        <a:schemeClr val="bg1"/>
                      </a:solidFill>
                    </a:defRPr>
                  </a:pPr>
                  <a:endParaRPr lang="es-CO"/>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A2-4025-B362-29D232D01BB5}"/>
                </c:ext>
                <c:ext xmlns:c15="http://schemas.microsoft.com/office/drawing/2012/chart" uri="{CE6537A1-D6FC-4f65-9D91-7224C49458BB}">
                  <c15:dlblFieldTable>
                    <c15:dlblFTEntry>
                      <c15:txfldGUID>{26D1CFA2-4CDC-4CD1-9157-401EB580B2EA}</c15:txfldGUID>
                      <c15:f>'Hoja1 (5)'!$E$8</c15:f>
                      <c15:dlblFieldTableCache>
                        <c:ptCount val="1"/>
                        <c:pt idx="0">
                          <c:v>99,00%</c:v>
                        </c:pt>
                      </c15:dlblFieldTableCache>
                    </c15:dlblFTEntry>
                  </c15:dlblFieldTable>
                  <c15:showDataLabelsRange val="0"/>
                </c:ext>
              </c:extLst>
            </c:dLbl>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(5)'!$D$8</c:f>
              <c:numCache>
                <c:formatCode>_-* #,##0\ _€_-;\-* #,##0\ _€_-;_-* "-"??\ _€_-;_-@_-</c:formatCode>
                <c:ptCount val="1"/>
                <c:pt idx="0">
                  <c:v>792</c:v>
                </c:pt>
              </c:numCache>
            </c:numRef>
          </c:val>
          <c:extLst xmlns:c16r2="http://schemas.microsoft.com/office/drawing/2015/06/chart">
            <c:ext xmlns:c16="http://schemas.microsoft.com/office/drawing/2014/chart" uri="{C3380CC4-5D6E-409C-BE32-E72D297353CC}">
              <c16:uniqueId val="{00000003-60A2-4025-B362-29D232D01BB5}"/>
            </c:ext>
          </c:extLst>
        </c:ser>
        <c:ser>
          <c:idx val="2"/>
          <c:order val="2"/>
          <c:tx>
            <c:strRef>
              <c:f>'Hoja1 (5)'!$F$7</c:f>
              <c:strCache>
                <c:ptCount val="1"/>
                <c:pt idx="0">
                  <c:v>OBLIGACION</c:v>
                </c:pt>
              </c:strCache>
            </c:strRef>
          </c:tx>
          <c:spPr>
            <a:solidFill>
              <a:schemeClr val="bg2">
                <a:lumMod val="50000"/>
              </a:schemeClr>
            </a:solidFill>
          </c:spPr>
          <c:invertIfNegative val="0"/>
          <c:dLbls>
            <c:dLbl>
              <c:idx val="0"/>
              <c:layout>
                <c:manualLayout>
                  <c:x val="7.8585445480470594E-3"/>
                  <c:y val="0.12497695662057991"/>
                </c:manualLayout>
              </c:layout>
              <c:tx>
                <c:strRef>
                  <c:f>'Hoja1 (5)'!$G$8</c:f>
                  <c:strCache>
                    <c:ptCount val="1"/>
                    <c:pt idx="0">
                      <c:v>98,88%</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0A2-4025-B362-29D232D01BB5}"/>
                </c:ext>
                <c:ext xmlns:c15="http://schemas.microsoft.com/office/drawing/2012/chart" uri="{CE6537A1-D6FC-4f65-9D91-7224C49458BB}">
                  <c15:dlblFieldTable>
                    <c15:dlblFTEntry>
                      <c15:txfldGUID>{DF2A5E90-7CA0-4974-B2D3-8F15C0ED8DF9}</c15:txfldGUID>
                      <c15:f>'Hoja1 (5)'!$G$8</c15:f>
                      <c15:dlblFieldTableCache>
                        <c:ptCount val="1"/>
                        <c:pt idx="0">
                          <c:v>98,88%</c:v>
                        </c:pt>
                      </c15:dlblFieldTableCache>
                    </c15:dlblFTEntry>
                  </c15:dlblFieldTable>
                  <c15:showDataLabelsRange val="0"/>
                </c:ext>
              </c:extLst>
            </c:dLbl>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(5)'!$F$8</c:f>
              <c:numCache>
                <c:formatCode>_-* #,##0\ _€_-;\-* #,##0\ _€_-;_-* "-"??\ _€_-;_-@_-</c:formatCode>
                <c:ptCount val="1"/>
                <c:pt idx="0">
                  <c:v>791</c:v>
                </c:pt>
              </c:numCache>
            </c:numRef>
          </c:val>
          <c:extLst xmlns:c16r2="http://schemas.microsoft.com/office/drawing/2015/06/chart">
            <c:ext xmlns:c16="http://schemas.microsoft.com/office/drawing/2014/chart" uri="{C3380CC4-5D6E-409C-BE32-E72D297353CC}">
              <c16:uniqueId val="{00000005-60A2-4025-B362-29D232D01BB5}"/>
            </c:ext>
          </c:extLst>
        </c:ser>
        <c:dLbls>
          <c:showLegendKey val="0"/>
          <c:showVal val="0"/>
          <c:showCatName val="0"/>
          <c:showSerName val="0"/>
          <c:showPercent val="0"/>
          <c:showBubbleSize val="0"/>
        </c:dLbls>
        <c:gapWidth val="150"/>
        <c:axId val="1936254512"/>
        <c:axId val="1936262128"/>
      </c:barChart>
      <c:catAx>
        <c:axId val="1936254512"/>
        <c:scaling>
          <c:orientation val="minMax"/>
        </c:scaling>
        <c:delete val="0"/>
        <c:axPos val="b"/>
        <c:numFmt formatCode="General" sourceLinked="0"/>
        <c:majorTickMark val="out"/>
        <c:minorTickMark val="none"/>
        <c:tickLblPos val="nextTo"/>
        <c:crossAx val="1936262128"/>
        <c:crosses val="autoZero"/>
        <c:auto val="1"/>
        <c:lblAlgn val="ctr"/>
        <c:lblOffset val="100"/>
        <c:noMultiLvlLbl val="0"/>
      </c:catAx>
      <c:valAx>
        <c:axId val="1936262128"/>
        <c:scaling>
          <c:orientation val="minMax"/>
        </c:scaling>
        <c:delete val="0"/>
        <c:axPos val="l"/>
        <c:majorGridlines/>
        <c:numFmt formatCode="_-* #,##0\ _€_-;\-* #,##0\ _€_-;_-* &quot;-&quot;??\ _€_-;_-@_-" sourceLinked="1"/>
        <c:majorTickMark val="out"/>
        <c:minorTickMark val="none"/>
        <c:tickLblPos val="nextTo"/>
        <c:txPr>
          <a:bodyPr/>
          <a:lstStyle/>
          <a:p>
            <a:pPr>
              <a:defRPr sz="800"/>
            </a:pPr>
            <a:endParaRPr lang="es-CO"/>
          </a:p>
        </c:txPr>
        <c:crossAx val="1936254512"/>
        <c:crosses val="autoZero"/>
        <c:crossBetween val="between"/>
      </c:valAx>
    </c:plotArea>
    <c:legend>
      <c:legendPos val="r"/>
      <c:overlay val="0"/>
      <c:txPr>
        <a:bodyPr/>
        <a:lstStyle/>
        <a:p>
          <a:pPr>
            <a:defRPr sz="800"/>
          </a:pPr>
          <a:endParaRPr lang="es-CO"/>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3694654990555"/>
          <c:y val="5.6497175141242938E-2"/>
          <c:w val="0.57660354866585595"/>
          <c:h val="0.79664356349891963"/>
        </c:manualLayout>
      </c:layout>
      <c:barChart>
        <c:barDir val="col"/>
        <c:grouping val="clustered"/>
        <c:varyColors val="0"/>
        <c:ser>
          <c:idx val="0"/>
          <c:order val="0"/>
          <c:tx>
            <c:strRef>
              <c:f>'Hoja1 (6)'!$C$6</c:f>
              <c:strCache>
                <c:ptCount val="1"/>
                <c:pt idx="0">
                  <c:v>APROPIACION</c:v>
                </c:pt>
              </c:strCache>
            </c:strRef>
          </c:tx>
          <c:spPr>
            <a:solidFill>
              <a:schemeClr val="tx2">
                <a:lumMod val="60000"/>
                <a:lumOff val="40000"/>
              </a:schemeClr>
            </a:solidFill>
          </c:spPr>
          <c:invertIfNegative val="0"/>
          <c:dLbls>
            <c:dLbl>
              <c:idx val="0"/>
              <c:layout>
                <c:manualLayout>
                  <c:x val="3.4527926999779234E-3"/>
                  <c:y val="0.11911472930290494"/>
                </c:manualLayout>
              </c:layout>
              <c:tx>
                <c:strRef>
                  <c:f>'Hoja1 (6)'!$C$7</c:f>
                  <c:strCache>
                    <c:ptCount val="1"/>
                    <c:pt idx="0">
                      <c:v> 300   </c:v>
                    </c:pt>
                  </c:strCache>
                </c:strRef>
              </c:tx>
              <c:spPr/>
              <c:txPr>
                <a:bodyPr/>
                <a:lstStyle/>
                <a:p>
                  <a:pPr>
                    <a:defRPr>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C5-4682-92EE-122C22A5547C}"/>
                </c:ext>
                <c:ext xmlns:c15="http://schemas.microsoft.com/office/drawing/2012/chart" uri="{CE6537A1-D6FC-4f65-9D91-7224C49458BB}">
                  <c15:dlblFieldTable>
                    <c15:dlblFTEntry>
                      <c15:txfldGUID>{4C244C40-B5F7-45C6-BDAD-E7B93A3C72D4}</c15:txfldGUID>
                      <c15:f>'Hoja1 (6)'!$C$7</c15:f>
                      <c15:dlblFieldTableCache>
                        <c:ptCount val="1"/>
                        <c:pt idx="0">
                          <c:v> 300   </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(6)'!$C$7</c:f>
              <c:numCache>
                <c:formatCode>_-* #,##0\ _€_-;\-* #,##0\ _€_-;_-* "-"??\ _€_-;_-@_-</c:formatCode>
                <c:ptCount val="1"/>
                <c:pt idx="0">
                  <c:v>300</c:v>
                </c:pt>
              </c:numCache>
            </c:numRef>
          </c:val>
          <c:extLst xmlns:c16r2="http://schemas.microsoft.com/office/drawing/2015/06/chart">
            <c:ext xmlns:c16="http://schemas.microsoft.com/office/drawing/2014/chart" uri="{C3380CC4-5D6E-409C-BE32-E72D297353CC}">
              <c16:uniqueId val="{00000001-B8C5-4682-92EE-122C22A5547C}"/>
            </c:ext>
          </c:extLst>
        </c:ser>
        <c:ser>
          <c:idx val="1"/>
          <c:order val="1"/>
          <c:tx>
            <c:strRef>
              <c:f>'Hoja1 (6)'!$D$6</c:f>
              <c:strCache>
                <c:ptCount val="1"/>
                <c:pt idx="0">
                  <c:v>COMPROMISO</c:v>
                </c:pt>
              </c:strCache>
            </c:strRef>
          </c:tx>
          <c:spPr>
            <a:solidFill>
              <a:schemeClr val="accent6"/>
            </a:solidFill>
          </c:spPr>
          <c:invertIfNegative val="0"/>
          <c:dLbls>
            <c:dLbl>
              <c:idx val="0"/>
              <c:layout>
                <c:manualLayout>
                  <c:x val="-5.2178902738372283E-3"/>
                  <c:y val="0.23817529219104022"/>
                </c:manualLayout>
              </c:layout>
              <c:tx>
                <c:strRef>
                  <c:f>'Hoja1 (6)'!$E$7</c:f>
                  <c:strCache>
                    <c:ptCount val="1"/>
                    <c:pt idx="0">
                      <c:v>84,90%</c:v>
                    </c:pt>
                  </c:strCache>
                </c:strRef>
              </c:tx>
              <c:spPr/>
              <c:txPr>
                <a:bodyPr/>
                <a:lstStyle/>
                <a:p>
                  <a:pPr>
                    <a:defRPr>
                      <a:solidFill>
                        <a:schemeClr val="bg1"/>
                      </a:solidFill>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C5-4682-92EE-122C22A5547C}"/>
                </c:ext>
                <c:ext xmlns:c15="http://schemas.microsoft.com/office/drawing/2012/chart" uri="{CE6537A1-D6FC-4f65-9D91-7224C49458BB}">
                  <c15:dlblFieldTable>
                    <c15:dlblFTEntry>
                      <c15:txfldGUID>{B3D5698E-81FC-4B26-8CDC-B0E1E7505227}</c15:txfldGUID>
                      <c15:f>'Hoja1 (6)'!$E$7</c15:f>
                      <c15:dlblFieldTableCache>
                        <c:ptCount val="1"/>
                        <c:pt idx="0">
                          <c:v>84,90%</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(6)'!$D$7</c:f>
              <c:numCache>
                <c:formatCode>_-* #,##0\ _€_-;\-* #,##0\ _€_-;_-* "-"??\ _€_-;_-@_-</c:formatCode>
                <c:ptCount val="1"/>
                <c:pt idx="0">
                  <c:v>254.7</c:v>
                </c:pt>
              </c:numCache>
            </c:numRef>
          </c:val>
          <c:extLst xmlns:c16r2="http://schemas.microsoft.com/office/drawing/2015/06/chart">
            <c:ext xmlns:c16="http://schemas.microsoft.com/office/drawing/2014/chart" uri="{C3380CC4-5D6E-409C-BE32-E72D297353CC}">
              <c16:uniqueId val="{00000003-B8C5-4682-92EE-122C22A5547C}"/>
            </c:ext>
          </c:extLst>
        </c:ser>
        <c:ser>
          <c:idx val="2"/>
          <c:order val="2"/>
          <c:tx>
            <c:strRef>
              <c:f>'Hoja1 (6)'!$F$6</c:f>
              <c:strCache>
                <c:ptCount val="1"/>
                <c:pt idx="0">
                  <c:v>OBLIGACION</c:v>
                </c:pt>
              </c:strCache>
            </c:strRef>
          </c:tx>
          <c:spPr>
            <a:solidFill>
              <a:schemeClr val="bg2">
                <a:lumMod val="50000"/>
              </a:schemeClr>
            </a:solidFill>
          </c:spPr>
          <c:invertIfNegative val="0"/>
          <c:dLbls>
            <c:dLbl>
              <c:idx val="0"/>
              <c:layout>
                <c:manualLayout>
                  <c:x val="7.8585014929813939E-3"/>
                  <c:y val="0.23893712003948225"/>
                </c:manualLayout>
              </c:layout>
              <c:tx>
                <c:strRef>
                  <c:f>'Hoja1 (6)'!$G$7</c:f>
                  <c:strCache>
                    <c:ptCount val="1"/>
                    <c:pt idx="0">
                      <c:v>84,90%</c:v>
                    </c:pt>
                  </c:strCache>
                </c:strRef>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C5-4682-92EE-122C22A5547C}"/>
                </c:ext>
                <c:ext xmlns:c15="http://schemas.microsoft.com/office/drawing/2012/chart" uri="{CE6537A1-D6FC-4f65-9D91-7224C49458BB}">
                  <c15:dlblFieldTable>
                    <c15:dlblFTEntry>
                      <c15:txfldGUID>{7E6FBD3E-3A9E-43DB-8F8D-D48379E10FFE}</c15:txfldGUID>
                      <c15:f>'Hoja1 (6)'!$G$7</c15:f>
                      <c15:dlblFieldTableCache>
                        <c:ptCount val="1"/>
                        <c:pt idx="0">
                          <c:v>84,90%</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Evolución</c:v>
              </c:pt>
            </c:strLit>
          </c:cat>
          <c:val>
            <c:numRef>
              <c:f>'Hoja1 (6)'!$F$7</c:f>
              <c:numCache>
                <c:formatCode>_-* #,##0\ _€_-;\-* #,##0\ _€_-;_-* "-"??\ _€_-;_-@_-</c:formatCode>
                <c:ptCount val="1"/>
                <c:pt idx="0">
                  <c:v>254.7</c:v>
                </c:pt>
              </c:numCache>
            </c:numRef>
          </c:val>
          <c:extLst xmlns:c16r2="http://schemas.microsoft.com/office/drawing/2015/06/chart">
            <c:ext xmlns:c16="http://schemas.microsoft.com/office/drawing/2014/chart" uri="{C3380CC4-5D6E-409C-BE32-E72D297353CC}">
              <c16:uniqueId val="{00000005-B8C5-4682-92EE-122C22A5547C}"/>
            </c:ext>
          </c:extLst>
        </c:ser>
        <c:dLbls>
          <c:showLegendKey val="0"/>
          <c:showVal val="0"/>
          <c:showCatName val="0"/>
          <c:showSerName val="0"/>
          <c:showPercent val="0"/>
          <c:showBubbleSize val="0"/>
        </c:dLbls>
        <c:gapWidth val="150"/>
        <c:axId val="1936255056"/>
        <c:axId val="1936263760"/>
      </c:barChart>
      <c:catAx>
        <c:axId val="1936255056"/>
        <c:scaling>
          <c:orientation val="minMax"/>
        </c:scaling>
        <c:delete val="0"/>
        <c:axPos val="b"/>
        <c:numFmt formatCode="General" sourceLinked="0"/>
        <c:majorTickMark val="out"/>
        <c:minorTickMark val="none"/>
        <c:tickLblPos val="nextTo"/>
        <c:crossAx val="1936263760"/>
        <c:crosses val="autoZero"/>
        <c:auto val="1"/>
        <c:lblAlgn val="ctr"/>
        <c:lblOffset val="100"/>
        <c:noMultiLvlLbl val="0"/>
      </c:catAx>
      <c:valAx>
        <c:axId val="1936263760"/>
        <c:scaling>
          <c:orientation val="minMax"/>
          <c:max val="500"/>
          <c:min val="0"/>
        </c:scaling>
        <c:delete val="0"/>
        <c:axPos val="l"/>
        <c:majorGridlines/>
        <c:numFmt formatCode="_-* #,##0\ _€_-;\-* #,##0\ _€_-;_-* &quot;-&quot;??\ _€_-;_-@_-" sourceLinked="1"/>
        <c:majorTickMark val="out"/>
        <c:minorTickMark val="none"/>
        <c:tickLblPos val="nextTo"/>
        <c:txPr>
          <a:bodyPr/>
          <a:lstStyle/>
          <a:p>
            <a:pPr>
              <a:defRPr sz="800"/>
            </a:pPr>
            <a:endParaRPr lang="es-CO"/>
          </a:p>
        </c:txPr>
        <c:crossAx val="1936255056"/>
        <c:crosses val="autoZero"/>
        <c:crossBetween val="between"/>
      </c:valAx>
    </c:plotArea>
    <c:legend>
      <c:legendPos val="r"/>
      <c:overlay val="0"/>
      <c:txPr>
        <a:bodyPr/>
        <a:lstStyle/>
        <a:p>
          <a:pPr>
            <a:defRPr sz="800"/>
          </a:pPr>
          <a:endParaRPr lang="es-CO"/>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Valor SGR - Inversión en Transporte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'[INFORME DE GESTIÓN.xlsx]Proyectos Aprobados'!$M$40:$M$46</c:f>
              <c:strCache>
                <c:ptCount val="7"/>
                <c:pt idx="0">
                  <c:v>Caribe</c:v>
                </c:pt>
                <c:pt idx="1">
                  <c:v>Centro - Oriente</c:v>
                </c:pt>
                <c:pt idx="2">
                  <c:v>Centro - Sur</c:v>
                </c:pt>
                <c:pt idx="3">
                  <c:v>Llano</c:v>
                </c:pt>
                <c:pt idx="4">
                  <c:v>Pacífico</c:v>
                </c:pt>
                <c:pt idx="5">
                  <c:v>Eje Cafetero</c:v>
                </c:pt>
                <c:pt idx="6">
                  <c:v>Cormagdalena</c:v>
                </c:pt>
              </c:strCache>
            </c:strRef>
          </c:cat>
          <c:val>
            <c:numRef>
              <c:f>'[INFORME DE GESTIÓN.xlsx]Proyectos Aprobados'!$N$40:$N$46</c:f>
              <c:numCache>
                <c:formatCode>0%</c:formatCode>
                <c:ptCount val="7"/>
                <c:pt idx="0">
                  <c:v>0.40566326510361023</c:v>
                </c:pt>
                <c:pt idx="1">
                  <c:v>7.7297389347934328E-2</c:v>
                </c:pt>
                <c:pt idx="2">
                  <c:v>0.14122850947772542</c:v>
                </c:pt>
                <c:pt idx="3">
                  <c:v>0.21092805239743043</c:v>
                </c:pt>
                <c:pt idx="4">
                  <c:v>0.10899402264706455</c:v>
                </c:pt>
                <c:pt idx="5">
                  <c:v>3.5832770627454671E-2</c:v>
                </c:pt>
                <c:pt idx="6">
                  <c:v>2.0055990398780407E-2</c:v>
                </c:pt>
              </c:numCache>
            </c:numRef>
          </c:val>
        </c:ser>
        <c:dLbls>
          <c:dLblPos val="in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'[INFORME DE GESTIÓN.xlsx]Proyectos Aprobados'!$M$40:$M$46</c15:sqref>
                        </c15:formulaRef>
                      </c:ext>
                    </c:extLst>
                    <c:strCache>
                      <c:ptCount val="7"/>
                      <c:pt idx="0">
                        <c:v>Caribe</c:v>
                      </c:pt>
                      <c:pt idx="1">
                        <c:v>Centro - Oriente</c:v>
                      </c:pt>
                      <c:pt idx="2">
                        <c:v>Centro - Sur</c:v>
                      </c:pt>
                      <c:pt idx="3">
                        <c:v>Llano</c:v>
                      </c:pt>
                      <c:pt idx="4">
                        <c:v>Pacífico</c:v>
                      </c:pt>
                      <c:pt idx="5">
                        <c:v>Eje Cafetero</c:v>
                      </c:pt>
                      <c:pt idx="6">
                        <c:v>Cormagdalena</c:v>
                      </c:pt>
                    </c:strCache>
                  </c:strRef>
                </c:tx>
                <c:dPt>
                  <c:idx val="0"/>
                  <c:bubble3D val="0"/>
                  <c:spPr>
                    <a:solidFill>
                      <a:schemeClr val="accent1"/>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'[INFORME DE GESTIÓN.xlsx]Proyectos Aprobados'!$M$40:$M$46</c15:sqref>
                        </c15:formulaRef>
                      </c:ext>
                    </c:extLst>
                    <c:strCache>
                      <c:ptCount val="7"/>
                      <c:pt idx="0">
                        <c:v>Caribe</c:v>
                      </c:pt>
                      <c:pt idx="1">
                        <c:v>Centro - Oriente</c:v>
                      </c:pt>
                      <c:pt idx="2">
                        <c:v>Centro - Sur</c:v>
                      </c:pt>
                      <c:pt idx="3">
                        <c:v>Llano</c:v>
                      </c:pt>
                      <c:pt idx="4">
                        <c:v>Pacífico</c:v>
                      </c:pt>
                      <c:pt idx="5">
                        <c:v>Eje Cafetero</c:v>
                      </c:pt>
                      <c:pt idx="6">
                        <c:v>Cormagdalena</c:v>
                      </c:pt>
                    </c:strCache>
                  </c:strRef>
                </c:cat>
                <c:val>
                  <c:numLit>
                    <c:formatCode>General</c:formatCode>
                    <c:ptCount val="1"/>
                    <c:pt idx="0">
                      <c:v>1</c:v>
                    </c:pt>
                  </c:numLit>
                </c:val>
              </c15:ser>
            </c15:filteredPieSeries>
          </c:ext>
        </c:extLst>
      </c:pie3D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cap="all"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DAN14</b:Tag>
    <b:SourceType>Report</b:SourceType>
    <b:Guid>{D6F2DBBB-6C05-4AFF-9195-591B1196D878}</b:Guid>
    <b:Title>BOLETIN DE PRENSA, INDICADOR DE INVERSIÓN EN OBRAS CIVILES</b:Title>
    <b:Year>MARZO 14 DE 2014</b:Year>
    <b:Author>
      <b:Author>
        <b:NameList>
          <b:Person>
            <b:Last>DANE</b:Last>
          </b:Person>
        </b:NameList>
      </b:Author>
    </b:Author>
    <b:RefOrder>1</b:RefOrder>
  </b:Source>
</b:Sources>
</file>

<file path=customXml/itemProps1.xml><?xml version="1.0" encoding="utf-8"?>
<ds:datastoreItem xmlns:ds="http://schemas.openxmlformats.org/officeDocument/2006/customXml" ds:itemID="{300E193C-F874-4F6E-BAF1-CA330B1FF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101</Pages>
  <Words>27062</Words>
  <Characters>148844</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min</Company>
  <LinksUpToDate>false</LinksUpToDate>
  <CharactersWithSpaces>175555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Carmenza Torrado Sagra</dc:creator>
  <dc:description>Memorias al Congreso 2013-2014 Ministerio de Transporte</dc:description>
  <cp:lastModifiedBy>Adriana Buitrago Sarmiento</cp:lastModifiedBy>
  <cp:revision>149</cp:revision>
  <cp:lastPrinted>2017-01-30T21:05:00Z</cp:lastPrinted>
  <dcterms:created xsi:type="dcterms:W3CDTF">2018-01-22T19:17:00Z</dcterms:created>
  <dcterms:modified xsi:type="dcterms:W3CDTF">2018-01-30T21:12:00Z</dcterms:modified>
</cp:coreProperties>
</file>